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header69.xml" ContentType="application/vnd.openxmlformats-officedocument.wordprocessingml.head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header74.xml" ContentType="application/vnd.openxmlformats-officedocument.wordprocessingml.header+xml"/>
  <Override PartName="/word/header75.xml" ContentType="application/vnd.openxmlformats-officedocument.wordprocessingml.header+xml"/>
  <Override PartName="/word/header76.xml" ContentType="application/vnd.openxmlformats-officedocument.wordprocessingml.header+xml"/>
  <Override PartName="/word/header77.xml" ContentType="application/vnd.openxmlformats-officedocument.wordprocessingml.header+xml"/>
  <Override PartName="/word/header78.xml" ContentType="application/vnd.openxmlformats-officedocument.wordprocessingml.header+xml"/>
  <Override PartName="/word/header79.xml" ContentType="application/vnd.openxmlformats-officedocument.wordprocessingml.header+xml"/>
  <Override PartName="/word/header80.xml" ContentType="application/vnd.openxmlformats-officedocument.wordprocessingml.header+xml"/>
  <Override PartName="/word/header81.xml" ContentType="application/vnd.openxmlformats-officedocument.wordprocessingml.header+xml"/>
  <Override PartName="/word/header82.xml" ContentType="application/vnd.openxmlformats-officedocument.wordprocessingml.header+xml"/>
  <Override PartName="/word/header83.xml" ContentType="application/vnd.openxmlformats-officedocument.wordprocessingml.header+xml"/>
  <Override PartName="/word/header84.xml" ContentType="application/vnd.openxmlformats-officedocument.wordprocessingml.header+xml"/>
  <Override PartName="/word/header85.xml" ContentType="application/vnd.openxmlformats-officedocument.wordprocessingml.header+xml"/>
  <Override PartName="/word/header86.xml" ContentType="application/vnd.openxmlformats-officedocument.wordprocessingml.header+xml"/>
  <Override PartName="/word/header87.xml" ContentType="application/vnd.openxmlformats-officedocument.wordprocessingml.header+xml"/>
  <Override PartName="/word/header88.xml" ContentType="application/vnd.openxmlformats-officedocument.wordprocessingml.header+xml"/>
  <Override PartName="/word/header89.xml" ContentType="application/vnd.openxmlformats-officedocument.wordprocessingml.header+xml"/>
  <Override PartName="/word/header90.xml" ContentType="application/vnd.openxmlformats-officedocument.wordprocessingml.header+xml"/>
  <Override PartName="/word/header91.xml" ContentType="application/vnd.openxmlformats-officedocument.wordprocessingml.header+xml"/>
  <Override PartName="/word/header92.xml" ContentType="application/vnd.openxmlformats-officedocument.wordprocessingml.header+xml"/>
  <Override PartName="/word/header93.xml" ContentType="application/vnd.openxmlformats-officedocument.wordprocessingml.header+xml"/>
  <Override PartName="/word/header94.xml" ContentType="application/vnd.openxmlformats-officedocument.wordprocessingml.header+xml"/>
  <Override PartName="/word/header95.xml" ContentType="application/vnd.openxmlformats-officedocument.wordprocessingml.header+xml"/>
  <Override PartName="/word/header96.xml" ContentType="application/vnd.openxmlformats-officedocument.wordprocessingml.header+xml"/>
  <Override PartName="/word/header97.xml" ContentType="application/vnd.openxmlformats-officedocument.wordprocessingml.header+xml"/>
  <Override PartName="/word/header98.xml" ContentType="application/vnd.openxmlformats-officedocument.wordprocessingml.header+xml"/>
  <Override PartName="/word/header99.xml" ContentType="application/vnd.openxmlformats-officedocument.wordprocessingml.header+xml"/>
  <Override PartName="/word/header100.xml" ContentType="application/vnd.openxmlformats-officedocument.wordprocessingml.header+xml"/>
  <Override PartName="/word/header101.xml" ContentType="application/vnd.openxmlformats-officedocument.wordprocessingml.header+xml"/>
  <Override PartName="/word/header102.xml" ContentType="application/vnd.openxmlformats-officedocument.wordprocessingml.header+xml"/>
  <Override PartName="/word/header103.xml" ContentType="application/vnd.openxmlformats-officedocument.wordprocessingml.header+xml"/>
  <Override PartName="/word/header104.xml" ContentType="application/vnd.openxmlformats-officedocument.wordprocessingml.header+xml"/>
  <Override PartName="/word/header105.xml" ContentType="application/vnd.openxmlformats-officedocument.wordprocessingml.header+xml"/>
  <Override PartName="/word/header106.xml" ContentType="application/vnd.openxmlformats-officedocument.wordprocessingml.header+xml"/>
  <Override PartName="/word/header107.xml" ContentType="application/vnd.openxmlformats-officedocument.wordprocessingml.header+xml"/>
  <Override PartName="/word/header108.xml" ContentType="application/vnd.openxmlformats-officedocument.wordprocessingml.header+xml"/>
  <Override PartName="/word/header109.xml" ContentType="application/vnd.openxmlformats-officedocument.wordprocessingml.header+xml"/>
  <Override PartName="/word/header110.xml" ContentType="application/vnd.openxmlformats-officedocument.wordprocessingml.header+xml"/>
  <Override PartName="/word/header111.xml" ContentType="application/vnd.openxmlformats-officedocument.wordprocessingml.header+xml"/>
  <Override PartName="/word/header112.xml" ContentType="application/vnd.openxmlformats-officedocument.wordprocessingml.header+xml"/>
  <Override PartName="/word/header113.xml" ContentType="application/vnd.openxmlformats-officedocument.wordprocessingml.header+xml"/>
  <Override PartName="/word/header114.xml" ContentType="application/vnd.openxmlformats-officedocument.wordprocessingml.header+xml"/>
  <Override PartName="/word/header115.xml" ContentType="application/vnd.openxmlformats-officedocument.wordprocessingml.header+xml"/>
  <Override PartName="/word/header116.xml" ContentType="application/vnd.openxmlformats-officedocument.wordprocessingml.header+xml"/>
  <Override PartName="/word/header117.xml" ContentType="application/vnd.openxmlformats-officedocument.wordprocessingml.header+xml"/>
  <Override PartName="/word/header118.xml" ContentType="application/vnd.openxmlformats-officedocument.wordprocessingml.header+xml"/>
  <Override PartName="/word/header119.xml" ContentType="application/vnd.openxmlformats-officedocument.wordprocessingml.header+xml"/>
  <Override PartName="/word/header120.xml" ContentType="application/vnd.openxmlformats-officedocument.wordprocessingml.header+xml"/>
  <Override PartName="/word/header121.xml" ContentType="application/vnd.openxmlformats-officedocument.wordprocessingml.header+xml"/>
  <Override PartName="/word/header122.xml" ContentType="application/vnd.openxmlformats-officedocument.wordprocessingml.header+xml"/>
  <Override PartName="/word/header123.xml" ContentType="application/vnd.openxmlformats-officedocument.wordprocessingml.header+xml"/>
  <Override PartName="/word/header124.xml" ContentType="application/vnd.openxmlformats-officedocument.wordprocessingml.header+xml"/>
  <Override PartName="/word/header125.xml" ContentType="application/vnd.openxmlformats-officedocument.wordprocessingml.header+xml"/>
  <Override PartName="/word/header126.xml" ContentType="application/vnd.openxmlformats-officedocument.wordprocessingml.header+xml"/>
  <Override PartName="/word/header127.xml" ContentType="application/vnd.openxmlformats-officedocument.wordprocessingml.header+xml"/>
  <Override PartName="/word/header128.xml" ContentType="application/vnd.openxmlformats-officedocument.wordprocessingml.header+xml"/>
  <Override PartName="/word/header129.xml" ContentType="application/vnd.openxmlformats-officedocument.wordprocessingml.header+xml"/>
  <Override PartName="/word/header130.xml" ContentType="application/vnd.openxmlformats-officedocument.wordprocessingml.header+xml"/>
  <Override PartName="/word/header131.xml" ContentType="application/vnd.openxmlformats-officedocument.wordprocessingml.header+xml"/>
  <Override PartName="/word/header132.xml" ContentType="application/vnd.openxmlformats-officedocument.wordprocessingml.header+xml"/>
  <Override PartName="/word/header133.xml" ContentType="application/vnd.openxmlformats-officedocument.wordprocessingml.header+xml"/>
  <Override PartName="/word/header134.xml" ContentType="application/vnd.openxmlformats-officedocument.wordprocessingml.header+xml"/>
  <Override PartName="/word/header135.xml" ContentType="application/vnd.openxmlformats-officedocument.wordprocessingml.header+xml"/>
  <Override PartName="/word/header136.xml" ContentType="application/vnd.openxmlformats-officedocument.wordprocessingml.header+xml"/>
  <Override PartName="/word/header137.xml" ContentType="application/vnd.openxmlformats-officedocument.wordprocessingml.header+xml"/>
  <Override PartName="/word/header138.xml" ContentType="application/vnd.openxmlformats-officedocument.wordprocessingml.header+xml"/>
  <Override PartName="/word/header139.xml" ContentType="application/vnd.openxmlformats-officedocument.wordprocessingml.header+xml"/>
  <Override PartName="/word/header140.xml" ContentType="application/vnd.openxmlformats-officedocument.wordprocessingml.header+xml"/>
  <Override PartName="/word/header141.xml" ContentType="application/vnd.openxmlformats-officedocument.wordprocessingml.header+xml"/>
  <Override PartName="/word/header142.xml" ContentType="application/vnd.openxmlformats-officedocument.wordprocessingml.header+xml"/>
  <Override PartName="/word/header143.xml" ContentType="application/vnd.openxmlformats-officedocument.wordprocessingml.header+xml"/>
  <Override PartName="/word/header144.xml" ContentType="application/vnd.openxmlformats-officedocument.wordprocessingml.header+xml"/>
  <Override PartName="/word/header145.xml" ContentType="application/vnd.openxmlformats-officedocument.wordprocessingml.header+xml"/>
  <Override PartName="/word/header146.xml" ContentType="application/vnd.openxmlformats-officedocument.wordprocessingml.header+xml"/>
  <Override PartName="/word/header147.xml" ContentType="application/vnd.openxmlformats-officedocument.wordprocessingml.header+xml"/>
  <Override PartName="/word/header148.xml" ContentType="application/vnd.openxmlformats-officedocument.wordprocessingml.header+xml"/>
  <Override PartName="/word/header149.xml" ContentType="application/vnd.openxmlformats-officedocument.wordprocessingml.header+xml"/>
  <Override PartName="/word/header150.xml" ContentType="application/vnd.openxmlformats-officedocument.wordprocessingml.header+xml"/>
  <Override PartName="/word/header151.xml" ContentType="application/vnd.openxmlformats-officedocument.wordprocessingml.header+xml"/>
  <Override PartName="/word/header152.xml" ContentType="application/vnd.openxmlformats-officedocument.wordprocessingml.header+xml"/>
  <Override PartName="/word/header153.xml" ContentType="application/vnd.openxmlformats-officedocument.wordprocessingml.header+xml"/>
  <Override PartName="/word/header154.xml" ContentType="application/vnd.openxmlformats-officedocument.wordprocessingml.header+xml"/>
  <Override PartName="/word/header155.xml" ContentType="application/vnd.openxmlformats-officedocument.wordprocessingml.header+xml"/>
  <Override PartName="/word/header156.xml" ContentType="application/vnd.openxmlformats-officedocument.wordprocessingml.header+xml"/>
  <Override PartName="/word/header157.xml" ContentType="application/vnd.openxmlformats-officedocument.wordprocessingml.header+xml"/>
  <Override PartName="/word/header158.xml" ContentType="application/vnd.openxmlformats-officedocument.wordprocessingml.header+xml"/>
  <Override PartName="/word/header159.xml" ContentType="application/vnd.openxmlformats-officedocument.wordprocessingml.header+xml"/>
  <Override PartName="/word/header160.xml" ContentType="application/vnd.openxmlformats-officedocument.wordprocessingml.header+xml"/>
  <Override PartName="/word/header161.xml" ContentType="application/vnd.openxmlformats-officedocument.wordprocessingml.header+xml"/>
  <Override PartName="/word/header162.xml" ContentType="application/vnd.openxmlformats-officedocument.wordprocessingml.header+xml"/>
  <Override PartName="/word/header163.xml" ContentType="application/vnd.openxmlformats-officedocument.wordprocessingml.header+xml"/>
  <Override PartName="/word/header164.xml" ContentType="application/vnd.openxmlformats-officedocument.wordprocessingml.header+xml"/>
  <Override PartName="/word/header165.xml" ContentType="application/vnd.openxmlformats-officedocument.wordprocessingml.header+xml"/>
  <Override PartName="/word/header166.xml" ContentType="application/vnd.openxmlformats-officedocument.wordprocessingml.header+xml"/>
  <Override PartName="/word/header167.xml" ContentType="application/vnd.openxmlformats-officedocument.wordprocessingml.header+xml"/>
  <Override PartName="/word/header168.xml" ContentType="application/vnd.openxmlformats-officedocument.wordprocessingml.header+xml"/>
  <Override PartName="/word/header169.xml" ContentType="application/vnd.openxmlformats-officedocument.wordprocessingml.header+xml"/>
  <Override PartName="/word/header170.xml" ContentType="application/vnd.openxmlformats-officedocument.wordprocessingml.header+xml"/>
  <Override PartName="/word/header171.xml" ContentType="application/vnd.openxmlformats-officedocument.wordprocessingml.header+xml"/>
  <Override PartName="/word/header172.xml" ContentType="application/vnd.openxmlformats-officedocument.wordprocessingml.header+xml"/>
  <Override PartName="/word/header173.xml" ContentType="application/vnd.openxmlformats-officedocument.wordprocessingml.header+xml"/>
  <Override PartName="/word/header174.xml" ContentType="application/vnd.openxmlformats-officedocument.wordprocessingml.header+xml"/>
  <Override PartName="/word/header175.xml" ContentType="application/vnd.openxmlformats-officedocument.wordprocessingml.header+xml"/>
  <Override PartName="/word/header176.xml" ContentType="application/vnd.openxmlformats-officedocument.wordprocessingml.header+xml"/>
  <Override PartName="/word/header177.xml" ContentType="application/vnd.openxmlformats-officedocument.wordprocessingml.header+xml"/>
  <Override PartName="/word/header178.xml" ContentType="application/vnd.openxmlformats-officedocument.wordprocessingml.header+xml"/>
  <Override PartName="/word/header179.xml" ContentType="application/vnd.openxmlformats-officedocument.wordprocessingml.header+xml"/>
  <Override PartName="/word/header180.xml" ContentType="application/vnd.openxmlformats-officedocument.wordprocessingml.header+xml"/>
  <Override PartName="/word/header181.xml" ContentType="application/vnd.openxmlformats-officedocument.wordprocessingml.header+xml"/>
  <Override PartName="/word/header182.xml" ContentType="application/vnd.openxmlformats-officedocument.wordprocessingml.header+xml"/>
  <Override PartName="/word/header183.xml" ContentType="application/vnd.openxmlformats-officedocument.wordprocessingml.header+xml"/>
  <Override PartName="/word/header184.xml" ContentType="application/vnd.openxmlformats-officedocument.wordprocessingml.header+xml"/>
  <Override PartName="/word/header185.xml" ContentType="application/vnd.openxmlformats-officedocument.wordprocessingml.header+xml"/>
  <Override PartName="/word/header186.xml" ContentType="application/vnd.openxmlformats-officedocument.wordprocessingml.header+xml"/>
  <Override PartName="/word/header187.xml" ContentType="application/vnd.openxmlformats-officedocument.wordprocessingml.header+xml"/>
  <Override PartName="/word/header188.xml" ContentType="application/vnd.openxmlformats-officedocument.wordprocessingml.header+xml"/>
  <Override PartName="/word/header189.xml" ContentType="application/vnd.openxmlformats-officedocument.wordprocessingml.header+xml"/>
  <Override PartName="/word/header190.xml" ContentType="application/vnd.openxmlformats-officedocument.wordprocessingml.header+xml"/>
  <Override PartName="/word/header191.xml" ContentType="application/vnd.openxmlformats-officedocument.wordprocessingml.header+xml"/>
  <Override PartName="/word/header192.xml" ContentType="application/vnd.openxmlformats-officedocument.wordprocessingml.header+xml"/>
  <Override PartName="/word/header193.xml" ContentType="application/vnd.openxmlformats-officedocument.wordprocessingml.header+xml"/>
  <Override PartName="/word/header194.xml" ContentType="application/vnd.openxmlformats-officedocument.wordprocessingml.header+xml"/>
  <Override PartName="/word/header195.xml" ContentType="application/vnd.openxmlformats-officedocument.wordprocessingml.header+xml"/>
  <Override PartName="/word/header196.xml" ContentType="application/vnd.openxmlformats-officedocument.wordprocessingml.header+xml"/>
  <Override PartName="/word/header197.xml" ContentType="application/vnd.openxmlformats-officedocument.wordprocessingml.header+xml"/>
  <Override PartName="/word/header198.xml" ContentType="application/vnd.openxmlformats-officedocument.wordprocessingml.header+xml"/>
  <Override PartName="/word/header199.xml" ContentType="application/vnd.openxmlformats-officedocument.wordprocessingml.header+xml"/>
  <Override PartName="/word/header200.xml" ContentType="application/vnd.openxmlformats-officedocument.wordprocessingml.header+xml"/>
  <Override PartName="/word/header201.xml" ContentType="application/vnd.openxmlformats-officedocument.wordprocessingml.header+xml"/>
  <Override PartName="/word/header202.xml" ContentType="application/vnd.openxmlformats-officedocument.wordprocessingml.header+xml"/>
  <Override PartName="/word/header203.xml" ContentType="application/vnd.openxmlformats-officedocument.wordprocessingml.header+xml"/>
  <Override PartName="/word/header204.xml" ContentType="application/vnd.openxmlformats-officedocument.wordprocessingml.header+xml"/>
  <Override PartName="/word/header205.xml" ContentType="application/vnd.openxmlformats-officedocument.wordprocessingml.header+xml"/>
  <Override PartName="/word/header206.xml" ContentType="application/vnd.openxmlformats-officedocument.wordprocessingml.header+xml"/>
  <Override PartName="/word/header207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footer56.xml" ContentType="application/vnd.openxmlformats-officedocument.wordprocessingml.footer+xml"/>
  <Override PartName="/word/footer57.xml" ContentType="application/vnd.openxmlformats-officedocument.wordprocessingml.foot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footer60.xml" ContentType="application/vnd.openxmlformats-officedocument.wordprocessingml.footer+xml"/>
  <Override PartName="/word/footer61.xml" ContentType="application/vnd.openxmlformats-officedocument.wordprocessingml.footer+xml"/>
  <Override PartName="/word/footer62.xml" ContentType="application/vnd.openxmlformats-officedocument.wordprocessingml.footer+xml"/>
  <Override PartName="/word/footer63.xml" ContentType="application/vnd.openxmlformats-officedocument.wordprocessingml.footer+xml"/>
  <Override PartName="/word/footer64.xml" ContentType="application/vnd.openxmlformats-officedocument.wordprocessingml.footer+xml"/>
  <Override PartName="/word/footer65.xml" ContentType="application/vnd.openxmlformats-officedocument.wordprocessingml.foot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footer68.xml" ContentType="application/vnd.openxmlformats-officedocument.wordprocessingml.footer+xml"/>
  <Override PartName="/word/footer69.xml" ContentType="application/vnd.openxmlformats-officedocument.wordprocessingml.foot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footer74.xml" ContentType="application/vnd.openxmlformats-officedocument.wordprocessingml.footer+xml"/>
  <Override PartName="/word/footer75.xml" ContentType="application/vnd.openxmlformats-officedocument.wordprocessingml.footer+xml"/>
  <Override PartName="/word/footer76.xml" ContentType="application/vnd.openxmlformats-officedocument.wordprocessingml.footer+xml"/>
  <Override PartName="/word/footer77.xml" ContentType="application/vnd.openxmlformats-officedocument.wordprocessingml.footer+xml"/>
  <Override PartName="/word/footer78.xml" ContentType="application/vnd.openxmlformats-officedocument.wordprocessingml.footer+xml"/>
  <Override PartName="/word/footer79.xml" ContentType="application/vnd.openxmlformats-officedocument.wordprocessingml.footer+xml"/>
  <Override PartName="/word/footer80.xml" ContentType="application/vnd.openxmlformats-officedocument.wordprocessingml.footer+xml"/>
  <Override PartName="/word/footer81.xml" ContentType="application/vnd.openxmlformats-officedocument.wordprocessingml.footer+xml"/>
  <Override PartName="/word/footer82.xml" ContentType="application/vnd.openxmlformats-officedocument.wordprocessingml.footer+xml"/>
  <Override PartName="/word/footer83.xml" ContentType="application/vnd.openxmlformats-officedocument.wordprocessingml.footer+xml"/>
  <Override PartName="/word/footer84.xml" ContentType="application/vnd.openxmlformats-officedocument.wordprocessingml.footer+xml"/>
  <Override PartName="/word/footer85.xml" ContentType="application/vnd.openxmlformats-officedocument.wordprocessingml.footer+xml"/>
  <Override PartName="/word/footer86.xml" ContentType="application/vnd.openxmlformats-officedocument.wordprocessingml.footer+xml"/>
  <Override PartName="/word/footer87.xml" ContentType="application/vnd.openxmlformats-officedocument.wordprocessingml.footer+xml"/>
  <Override PartName="/word/footer88.xml" ContentType="application/vnd.openxmlformats-officedocument.wordprocessingml.footer+xml"/>
  <Override PartName="/word/footer89.xml" ContentType="application/vnd.openxmlformats-officedocument.wordprocessingml.footer+xml"/>
  <Override PartName="/word/footer90.xml" ContentType="application/vnd.openxmlformats-officedocument.wordprocessingml.footer+xml"/>
  <Override PartName="/word/footer91.xml" ContentType="application/vnd.openxmlformats-officedocument.wordprocessingml.footer+xml"/>
  <Override PartName="/word/footer92.xml" ContentType="application/vnd.openxmlformats-officedocument.wordprocessingml.footer+xml"/>
  <Override PartName="/word/footer93.xml" ContentType="application/vnd.openxmlformats-officedocument.wordprocessingml.footer+xml"/>
  <Override PartName="/word/footer94.xml" ContentType="application/vnd.openxmlformats-officedocument.wordprocessingml.footer+xml"/>
  <Override PartName="/word/footer95.xml" ContentType="application/vnd.openxmlformats-officedocument.wordprocessingml.footer+xml"/>
  <Override PartName="/word/footer96.xml" ContentType="application/vnd.openxmlformats-officedocument.wordprocessingml.footer+xml"/>
  <Override PartName="/word/footer97.xml" ContentType="application/vnd.openxmlformats-officedocument.wordprocessingml.footer+xml"/>
  <Override PartName="/word/footer98.xml" ContentType="application/vnd.openxmlformats-officedocument.wordprocessingml.footer+xml"/>
  <Override PartName="/word/footer99.xml" ContentType="application/vnd.openxmlformats-officedocument.wordprocessingml.footer+xml"/>
  <Override PartName="/word/footer100.xml" ContentType="application/vnd.openxmlformats-officedocument.wordprocessingml.footer+xml"/>
  <Override PartName="/word/footer101.xml" ContentType="application/vnd.openxmlformats-officedocument.wordprocessingml.footer+xml"/>
  <Override PartName="/word/footer102.xml" ContentType="application/vnd.openxmlformats-officedocument.wordprocessingml.footer+xml"/>
  <Override PartName="/word/footer103.xml" ContentType="application/vnd.openxmlformats-officedocument.wordprocessingml.footer+xml"/>
  <Override PartName="/word/footer104.xml" ContentType="application/vnd.openxmlformats-officedocument.wordprocessingml.footer+xml"/>
  <Override PartName="/word/footer105.xml" ContentType="application/vnd.openxmlformats-officedocument.wordprocessingml.footer+xml"/>
  <Override PartName="/word/footer106.xml" ContentType="application/vnd.openxmlformats-officedocument.wordprocessingml.footer+xml"/>
  <Override PartName="/word/footer107.xml" ContentType="application/vnd.openxmlformats-officedocument.wordprocessingml.footer+xml"/>
  <Override PartName="/word/footer108.xml" ContentType="application/vnd.openxmlformats-officedocument.wordprocessingml.footer+xml"/>
  <Override PartName="/word/footer109.xml" ContentType="application/vnd.openxmlformats-officedocument.wordprocessingml.footer+xml"/>
  <Override PartName="/word/footer110.xml" ContentType="application/vnd.openxmlformats-officedocument.wordprocessingml.footer+xml"/>
  <Override PartName="/word/footer111.xml" ContentType="application/vnd.openxmlformats-officedocument.wordprocessingml.footer+xml"/>
  <Override PartName="/word/footer112.xml" ContentType="application/vnd.openxmlformats-officedocument.wordprocessingml.footer+xml"/>
  <Override PartName="/word/footer113.xml" ContentType="application/vnd.openxmlformats-officedocument.wordprocessingml.footer+xml"/>
  <Override PartName="/word/footer114.xml" ContentType="application/vnd.openxmlformats-officedocument.wordprocessingml.footer+xml"/>
  <Override PartName="/word/footer115.xml" ContentType="application/vnd.openxmlformats-officedocument.wordprocessingml.footer+xml"/>
  <Override PartName="/word/footer116.xml" ContentType="application/vnd.openxmlformats-officedocument.wordprocessingml.footer+xml"/>
  <Override PartName="/word/footer117.xml" ContentType="application/vnd.openxmlformats-officedocument.wordprocessingml.footer+xml"/>
  <Override PartName="/word/footer118.xml" ContentType="application/vnd.openxmlformats-officedocument.wordprocessingml.footer+xml"/>
  <Override PartName="/word/footer119.xml" ContentType="application/vnd.openxmlformats-officedocument.wordprocessingml.footer+xml"/>
  <Override PartName="/word/footer120.xml" ContentType="application/vnd.openxmlformats-officedocument.wordprocessingml.footer+xml"/>
  <Override PartName="/word/footer121.xml" ContentType="application/vnd.openxmlformats-officedocument.wordprocessingml.footer+xml"/>
  <Override PartName="/word/footer122.xml" ContentType="application/vnd.openxmlformats-officedocument.wordprocessingml.footer+xml"/>
  <Override PartName="/word/footer123.xml" ContentType="application/vnd.openxmlformats-officedocument.wordprocessingml.footer+xml"/>
  <Override PartName="/word/footer124.xml" ContentType="application/vnd.openxmlformats-officedocument.wordprocessingml.footer+xml"/>
  <Override PartName="/word/footer125.xml" ContentType="application/vnd.openxmlformats-officedocument.wordprocessingml.footer+xml"/>
  <Override PartName="/word/footer126.xml" ContentType="application/vnd.openxmlformats-officedocument.wordprocessingml.footer+xml"/>
  <Override PartName="/word/footer127.xml" ContentType="application/vnd.openxmlformats-officedocument.wordprocessingml.footer+xml"/>
  <Override PartName="/word/footer128.xml" ContentType="application/vnd.openxmlformats-officedocument.wordprocessingml.footer+xml"/>
  <Override PartName="/word/footer129.xml" ContentType="application/vnd.openxmlformats-officedocument.wordprocessingml.footer+xml"/>
  <Override PartName="/word/footer130.xml" ContentType="application/vnd.openxmlformats-officedocument.wordprocessingml.footer+xml"/>
  <Override PartName="/word/footer131.xml" ContentType="application/vnd.openxmlformats-officedocument.wordprocessingml.footer+xml"/>
  <Override PartName="/word/footer132.xml" ContentType="application/vnd.openxmlformats-officedocument.wordprocessingml.footer+xml"/>
  <Override PartName="/word/footer133.xml" ContentType="application/vnd.openxmlformats-officedocument.wordprocessingml.footer+xml"/>
  <Override PartName="/word/footer134.xml" ContentType="application/vnd.openxmlformats-officedocument.wordprocessingml.footer+xml"/>
  <Override PartName="/word/footer135.xml" ContentType="application/vnd.openxmlformats-officedocument.wordprocessingml.footer+xml"/>
  <Override PartName="/word/footer136.xml" ContentType="application/vnd.openxmlformats-officedocument.wordprocessingml.footer+xml"/>
  <Override PartName="/word/footer137.xml" ContentType="application/vnd.openxmlformats-officedocument.wordprocessingml.footer+xml"/>
  <Override PartName="/word/footer138.xml" ContentType="application/vnd.openxmlformats-officedocument.wordprocessingml.footer+xml"/>
  <Override PartName="/word/footer139.xml" ContentType="application/vnd.openxmlformats-officedocument.wordprocessingml.footer+xml"/>
  <Override PartName="/word/footer140.xml" ContentType="application/vnd.openxmlformats-officedocument.wordprocessingml.footer+xml"/>
  <Override PartName="/word/footer141.xml" ContentType="application/vnd.openxmlformats-officedocument.wordprocessingml.footer+xml"/>
  <Override PartName="/word/footer142.xml" ContentType="application/vnd.openxmlformats-officedocument.wordprocessingml.footer+xml"/>
  <Override PartName="/word/footer143.xml" ContentType="application/vnd.openxmlformats-officedocument.wordprocessingml.footer+xml"/>
  <Override PartName="/word/footer144.xml" ContentType="application/vnd.openxmlformats-officedocument.wordprocessingml.footer+xml"/>
  <Override PartName="/word/footer145.xml" ContentType="application/vnd.openxmlformats-officedocument.wordprocessingml.footer+xml"/>
  <Override PartName="/word/footer146.xml" ContentType="application/vnd.openxmlformats-officedocument.wordprocessingml.footer+xml"/>
  <Override PartName="/word/footer147.xml" ContentType="application/vnd.openxmlformats-officedocument.wordprocessingml.footer+xml"/>
  <Override PartName="/word/footer148.xml" ContentType="application/vnd.openxmlformats-officedocument.wordprocessingml.footer+xml"/>
  <Override PartName="/word/footer149.xml" ContentType="application/vnd.openxmlformats-officedocument.wordprocessingml.footer+xml"/>
  <Override PartName="/word/footer150.xml" ContentType="application/vnd.openxmlformats-officedocument.wordprocessingml.footer+xml"/>
  <Override PartName="/word/footer151.xml" ContentType="application/vnd.openxmlformats-officedocument.wordprocessingml.footer+xml"/>
  <Override PartName="/word/footer152.xml" ContentType="application/vnd.openxmlformats-officedocument.wordprocessingml.footer+xml"/>
  <Override PartName="/word/footer153.xml" ContentType="application/vnd.openxmlformats-officedocument.wordprocessingml.footer+xml"/>
  <Override PartName="/word/footer154.xml" ContentType="application/vnd.openxmlformats-officedocument.wordprocessingml.footer+xml"/>
  <Override PartName="/word/footer155.xml" ContentType="application/vnd.openxmlformats-officedocument.wordprocessingml.footer+xml"/>
  <Override PartName="/word/footer156.xml" ContentType="application/vnd.openxmlformats-officedocument.wordprocessingml.footer+xml"/>
  <Override PartName="/word/footer157.xml" ContentType="application/vnd.openxmlformats-officedocument.wordprocessingml.footer+xml"/>
  <Override PartName="/word/footer158.xml" ContentType="application/vnd.openxmlformats-officedocument.wordprocessingml.footer+xml"/>
  <Override PartName="/word/footer159.xml" ContentType="application/vnd.openxmlformats-officedocument.wordprocessingml.footer+xml"/>
  <Override PartName="/word/footer160.xml" ContentType="application/vnd.openxmlformats-officedocument.wordprocessingml.footer+xml"/>
  <Override PartName="/word/footer161.xml" ContentType="application/vnd.openxmlformats-officedocument.wordprocessingml.footer+xml"/>
  <Override PartName="/word/footer162.xml" ContentType="application/vnd.openxmlformats-officedocument.wordprocessingml.footer+xml"/>
  <Override PartName="/word/footer163.xml" ContentType="application/vnd.openxmlformats-officedocument.wordprocessingml.footer+xml"/>
  <Override PartName="/word/footer164.xml" ContentType="application/vnd.openxmlformats-officedocument.wordprocessingml.footer+xml"/>
  <Override PartName="/word/footer165.xml" ContentType="application/vnd.openxmlformats-officedocument.wordprocessingml.footer+xml"/>
  <Override PartName="/word/footer166.xml" ContentType="application/vnd.openxmlformats-officedocument.wordprocessingml.footer+xml"/>
  <Override PartName="/word/footer167.xml" ContentType="application/vnd.openxmlformats-officedocument.wordprocessingml.footer+xml"/>
  <Override PartName="/word/footer168.xml" ContentType="application/vnd.openxmlformats-officedocument.wordprocessingml.footer+xml"/>
  <Override PartName="/word/footer169.xml" ContentType="application/vnd.openxmlformats-officedocument.wordprocessingml.footer+xml"/>
  <Override PartName="/word/footer170.xml" ContentType="application/vnd.openxmlformats-officedocument.wordprocessingml.footer+xml"/>
  <Override PartName="/word/footer171.xml" ContentType="application/vnd.openxmlformats-officedocument.wordprocessingml.footer+xml"/>
  <Override PartName="/word/footer172.xml" ContentType="application/vnd.openxmlformats-officedocument.wordprocessingml.footer+xml"/>
  <Override PartName="/word/footer173.xml" ContentType="application/vnd.openxmlformats-officedocument.wordprocessingml.footer+xml"/>
  <Override PartName="/word/footer174.xml" ContentType="application/vnd.openxmlformats-officedocument.wordprocessingml.footer+xml"/>
  <Override PartName="/word/footer175.xml" ContentType="application/vnd.openxmlformats-officedocument.wordprocessingml.footer+xml"/>
  <Override PartName="/word/footer176.xml" ContentType="application/vnd.openxmlformats-officedocument.wordprocessingml.footer+xml"/>
  <Override PartName="/word/footer177.xml" ContentType="application/vnd.openxmlformats-officedocument.wordprocessingml.footer+xml"/>
  <Override PartName="/word/footer178.xml" ContentType="application/vnd.openxmlformats-officedocument.wordprocessingml.footer+xml"/>
  <Override PartName="/word/footer179.xml" ContentType="application/vnd.openxmlformats-officedocument.wordprocessingml.footer+xml"/>
  <Override PartName="/word/footer180.xml" ContentType="application/vnd.openxmlformats-officedocument.wordprocessingml.footer+xml"/>
  <Override PartName="/word/footer181.xml" ContentType="application/vnd.openxmlformats-officedocument.wordprocessingml.footer+xml"/>
  <Override PartName="/word/footer182.xml" ContentType="application/vnd.openxmlformats-officedocument.wordprocessingml.footer+xml"/>
  <Override PartName="/word/footer183.xml" ContentType="application/vnd.openxmlformats-officedocument.wordprocessingml.footer+xml"/>
  <Override PartName="/word/footer184.xml" ContentType="application/vnd.openxmlformats-officedocument.wordprocessingml.footer+xml"/>
  <Override PartName="/word/footer185.xml" ContentType="application/vnd.openxmlformats-officedocument.wordprocessingml.footer+xml"/>
  <Override PartName="/word/footer186.xml" ContentType="application/vnd.openxmlformats-officedocument.wordprocessingml.footer+xml"/>
  <Override PartName="/word/footer187.xml" ContentType="application/vnd.openxmlformats-officedocument.wordprocessingml.footer+xml"/>
  <Override PartName="/word/footer188.xml" ContentType="application/vnd.openxmlformats-officedocument.wordprocessingml.footer+xml"/>
  <Override PartName="/word/footer189.xml" ContentType="application/vnd.openxmlformats-officedocument.wordprocessingml.footer+xml"/>
  <Override PartName="/word/footer190.xml" ContentType="application/vnd.openxmlformats-officedocument.wordprocessingml.footer+xml"/>
  <Override PartName="/word/footer191.xml" ContentType="application/vnd.openxmlformats-officedocument.wordprocessingml.footer+xml"/>
  <Override PartName="/word/footer192.xml" ContentType="application/vnd.openxmlformats-officedocument.wordprocessingml.footer+xml"/>
  <Override PartName="/word/footer193.xml" ContentType="application/vnd.openxmlformats-officedocument.wordprocessingml.footer+xml"/>
  <Override PartName="/word/footer194.xml" ContentType="application/vnd.openxmlformats-officedocument.wordprocessingml.footer+xml"/>
  <Override PartName="/word/footer195.xml" ContentType="application/vnd.openxmlformats-officedocument.wordprocessingml.footer+xml"/>
  <Override PartName="/word/footer196.xml" ContentType="application/vnd.openxmlformats-officedocument.wordprocessingml.footer+xml"/>
  <Override PartName="/word/footer197.xml" ContentType="application/vnd.openxmlformats-officedocument.wordprocessingml.footer+xml"/>
  <Override PartName="/word/footer198.xml" ContentType="application/vnd.openxmlformats-officedocument.wordprocessingml.footer+xml"/>
  <Override PartName="/word/footer199.xml" ContentType="application/vnd.openxmlformats-officedocument.wordprocessingml.footer+xml"/>
  <Override PartName="/word/footer200.xml" ContentType="application/vnd.openxmlformats-officedocument.wordprocessingml.footer+xml"/>
  <Override PartName="/word/footer201.xml" ContentType="application/vnd.openxmlformats-officedocument.wordprocessingml.footer+xml"/>
  <Override PartName="/word/footer202.xml" ContentType="application/vnd.openxmlformats-officedocument.wordprocessingml.footer+xml"/>
  <Override PartName="/word/footer203.xml" ContentType="application/vnd.openxmlformats-officedocument.wordprocessingml.footer+xml"/>
  <Override PartName="/word/footer204.xml" ContentType="application/vnd.openxmlformats-officedocument.wordprocessingml.footer+xml"/>
  <Override PartName="/word/footer205.xml" ContentType="application/vnd.openxmlformats-officedocument.wordprocessingml.footer+xml"/>
  <Override PartName="/word/footer206.xml" ContentType="application/vnd.openxmlformats-officedocument.wordprocessingml.footer+xml"/>
  <Override PartName="/word/footer207.xml" ContentType="application/vnd.openxmlformats-officedocument.wordprocessingml.footer+xml"/>
  <Override PartName="/word/footer208.xml" ContentType="application/vnd.openxmlformats-officedocument.wordprocessingml.footer+xml"/>
  <Override PartName="/word/footer209.xml" ContentType="application/vnd.openxmlformats-officedocument.wordprocessingml.footer+xml"/>
  <Override PartName="/word/footer210.xml" ContentType="application/vnd.openxmlformats-officedocument.wordprocessingml.footer+xml"/>
  <Override PartName="/word/footer211.xml" ContentType="application/vnd.openxmlformats-officedocument.wordprocessingml.footer+xml"/>
  <Override PartName="/word/footer212.xml" ContentType="application/vnd.openxmlformats-officedocument.wordprocessingml.footer+xml"/>
  <Override PartName="/word/footer213.xml" ContentType="application/vnd.openxmlformats-officedocument.wordprocessingml.footer+xml"/>
  <Override PartName="/word/footer214.xml" ContentType="application/vnd.openxmlformats-officedocument.wordprocessingml.footer+xml"/>
  <Override PartName="/word/footer215.xml" ContentType="application/vnd.openxmlformats-officedocument.wordprocessingml.footer+xml"/>
  <Override PartName="/word/footer216.xml" ContentType="application/vnd.openxmlformats-officedocument.wordprocessingml.footer+xml"/>
  <Override PartName="/word/footer217.xml" ContentType="application/vnd.openxmlformats-officedocument.wordprocessingml.footer+xml"/>
  <Override PartName="/word/footer218.xml" ContentType="application/vnd.openxmlformats-officedocument.wordprocessingml.footer+xml"/>
  <Override PartName="/word/footer219.xml" ContentType="application/vnd.openxmlformats-officedocument.wordprocessingml.footer+xml"/>
  <Override PartName="/word/footer220.xml" ContentType="application/vnd.openxmlformats-officedocument.wordprocessingml.footer+xml"/>
  <Override PartName="/word/footer221.xml" ContentType="application/vnd.openxmlformats-officedocument.wordprocessingml.footer+xml"/>
  <Override PartName="/word/footer222.xml" ContentType="application/vnd.openxmlformats-officedocument.wordprocessingml.footer+xml"/>
  <Override PartName="/word/footer223.xml" ContentType="application/vnd.openxmlformats-officedocument.wordprocessingml.footer+xml"/>
  <Override PartName="/word/footer224.xml" ContentType="application/vnd.openxmlformats-officedocument.wordprocessingml.footer+xml"/>
  <Override PartName="/word/footer225.xml" ContentType="application/vnd.openxmlformats-officedocument.wordprocessingml.footer+xml"/>
  <Override PartName="/word/footer226.xml" ContentType="application/vnd.openxmlformats-officedocument.wordprocessingml.footer+xml"/>
  <Override PartName="/word/footer227.xml" ContentType="application/vnd.openxmlformats-officedocument.wordprocessingml.footer+xml"/>
  <Override PartName="/word/footer228.xml" ContentType="application/vnd.openxmlformats-officedocument.wordprocessingml.footer+xml"/>
  <Override PartName="/word/footer229.xml" ContentType="application/vnd.openxmlformats-officedocument.wordprocessingml.footer+xml"/>
  <Override PartName="/word/footer230.xml" ContentType="application/vnd.openxmlformats-officedocument.wordprocessingml.footer+xml"/>
  <Override PartName="/word/footer231.xml" ContentType="application/vnd.openxmlformats-officedocument.wordprocessingml.footer+xml"/>
  <Override PartName="/word/footer232.xml" ContentType="application/vnd.openxmlformats-officedocument.wordprocessingml.footer+xml"/>
  <Override PartName="/word/footer233.xml" ContentType="application/vnd.openxmlformats-officedocument.wordprocessingml.footer+xml"/>
  <Override PartName="/word/footer234.xml" ContentType="application/vnd.openxmlformats-officedocument.wordprocessingml.footer+xml"/>
  <Override PartName="/word/footer235.xml" ContentType="application/vnd.openxmlformats-officedocument.wordprocessingml.footer+xml"/>
  <Override PartName="/word/footer236.xml" ContentType="application/vnd.openxmlformats-officedocument.wordprocessingml.footer+xml"/>
  <Override PartName="/word/footer237.xml" ContentType="application/vnd.openxmlformats-officedocument.wordprocessingml.footer+xml"/>
  <Override PartName="/word/footer238.xml" ContentType="application/vnd.openxmlformats-officedocument.wordprocessingml.footer+xml"/>
  <Override PartName="/word/footer239.xml" ContentType="application/vnd.openxmlformats-officedocument.wordprocessingml.footer+xml"/>
  <Override PartName="/word/footer240.xml" ContentType="application/vnd.openxmlformats-officedocument.wordprocessingml.footer+xml"/>
  <Override PartName="/word/footer241.xml" ContentType="application/vnd.openxmlformats-officedocument.wordprocessingml.footer+xml"/>
  <Override PartName="/word/footer242.xml" ContentType="application/vnd.openxmlformats-officedocument.wordprocessingml.footer+xml"/>
  <Override PartName="/word/footer243.xml" ContentType="application/vnd.openxmlformats-officedocument.wordprocessingml.footer+xml"/>
  <Override PartName="/word/footer244.xml" ContentType="application/vnd.openxmlformats-officedocument.wordprocessingml.footer+xml"/>
  <Override PartName="/word/footer245.xml" ContentType="application/vnd.openxmlformats-officedocument.wordprocessingml.footer+xml"/>
  <Override PartName="/word/footer246.xml" ContentType="application/vnd.openxmlformats-officedocument.wordprocessingml.footer+xml"/>
  <Override PartName="/word/footer247.xml" ContentType="application/vnd.openxmlformats-officedocument.wordprocessingml.footer+xml"/>
  <Override PartName="/word/footer248.xml" ContentType="application/vnd.openxmlformats-officedocument.wordprocessingml.footer+xml"/>
  <Override PartName="/word/footer249.xml" ContentType="application/vnd.openxmlformats-officedocument.wordprocessingml.footer+xml"/>
  <Override PartName="/word/footer250.xml" ContentType="application/vnd.openxmlformats-officedocument.wordprocessingml.footer+xml"/>
  <Override PartName="/word/footer251.xml" ContentType="application/vnd.openxmlformats-officedocument.wordprocessingml.footer+xml"/>
  <Override PartName="/word/footer252.xml" ContentType="application/vnd.openxmlformats-officedocument.wordprocessingml.footer+xml"/>
  <Override PartName="/word/footer253.xml" ContentType="application/vnd.openxmlformats-officedocument.wordprocessingml.footer+xml"/>
  <Override PartName="/word/footer254.xml" ContentType="application/vnd.openxmlformats-officedocument.wordprocessingml.footer+xml"/>
  <Override PartName="/word/footer255.xml" ContentType="application/vnd.openxmlformats-officedocument.wordprocessingml.footer+xml"/>
  <Override PartName="/word/footer256.xml" ContentType="application/vnd.openxmlformats-officedocument.wordprocessingml.footer+xml"/>
  <Override PartName="/word/footer257.xml" ContentType="application/vnd.openxmlformats-officedocument.wordprocessingml.footer+xml"/>
  <Override PartName="/word/footer258.xml" ContentType="application/vnd.openxmlformats-officedocument.wordprocessingml.footer+xml"/>
  <Override PartName="/word/footer259.xml" ContentType="application/vnd.openxmlformats-officedocument.wordprocessingml.footer+xml"/>
  <Override PartName="/word/footer260.xml" ContentType="application/vnd.openxmlformats-officedocument.wordprocessingml.footer+xml"/>
  <Override PartName="/word/footer261.xml" ContentType="application/vnd.openxmlformats-officedocument.wordprocessingml.footer+xml"/>
  <Override PartName="/word/footer262.xml" ContentType="application/vnd.openxmlformats-officedocument.wordprocessingml.footer+xml"/>
  <Override PartName="/word/footer263.xml" ContentType="application/vnd.openxmlformats-officedocument.wordprocessingml.footer+xml"/>
  <Override PartName="/word/footer264.xml" ContentType="application/vnd.openxmlformats-officedocument.wordprocessingml.footer+xml"/>
  <Override PartName="/word/footer265.xml" ContentType="application/vnd.openxmlformats-officedocument.wordprocessingml.footer+xml"/>
  <Override PartName="/word/footer266.xml" ContentType="application/vnd.openxmlformats-officedocument.wordprocessingml.footer+xml"/>
  <Override PartName="/word/footer267.xml" ContentType="application/vnd.openxmlformats-officedocument.wordprocessingml.footer+xml"/>
  <Override PartName="/word/footer268.xml" ContentType="application/vnd.openxmlformats-officedocument.wordprocessingml.footer+xml"/>
  <Override PartName="/word/footer269.xml" ContentType="application/vnd.openxmlformats-officedocument.wordprocessingml.footer+xml"/>
  <Override PartName="/word/footer270.xml" ContentType="application/vnd.openxmlformats-officedocument.wordprocessingml.footer+xml"/>
  <Override PartName="/word/footer271.xml" ContentType="application/vnd.openxmlformats-officedocument.wordprocessingml.footer+xml"/>
  <Override PartName="/word/footer272.xml" ContentType="application/vnd.openxmlformats-officedocument.wordprocessingml.footer+xml"/>
  <Override PartName="/word/footer273.xml" ContentType="application/vnd.openxmlformats-officedocument.wordprocessingml.footer+xml"/>
  <Override PartName="/word/footer274.xml" ContentType="application/vnd.openxmlformats-officedocument.wordprocessingml.footer+xml"/>
  <Override PartName="/word/footer275.xml" ContentType="application/vnd.openxmlformats-officedocument.wordprocessingml.footer+xml"/>
  <Override PartName="/word/footer276.xml" ContentType="application/vnd.openxmlformats-officedocument.wordprocessingml.footer+xml"/>
  <Override PartName="/word/footer277.xml" ContentType="application/vnd.openxmlformats-officedocument.wordprocessingml.footer+xml"/>
  <Override PartName="/word/footer278.xml" ContentType="application/vnd.openxmlformats-officedocument.wordprocessingml.footer+xml"/>
  <Override PartName="/word/footer279.xml" ContentType="application/vnd.openxmlformats-officedocument.wordprocessingml.footer+xml"/>
  <Override PartName="/word/footer280.xml" ContentType="application/vnd.openxmlformats-officedocument.wordprocessingml.footer+xml"/>
  <Override PartName="/word/footer281.xml" ContentType="application/vnd.openxmlformats-officedocument.wordprocessingml.footer+xml"/>
  <Override PartName="/word/footer282.xml" ContentType="application/vnd.openxmlformats-officedocument.wordprocessingml.footer+xml"/>
  <Override PartName="/word/footer283.xml" ContentType="application/vnd.openxmlformats-officedocument.wordprocessingml.footer+xml"/>
  <Override PartName="/word/footer284.xml" ContentType="application/vnd.openxmlformats-officedocument.wordprocessingml.footer+xml"/>
  <Override PartName="/word/footer285.xml" ContentType="application/vnd.openxmlformats-officedocument.wordprocessingml.footer+xml"/>
  <Override PartName="/word/footer286.xml" ContentType="application/vnd.openxmlformats-officedocument.wordprocessingml.footer+xml"/>
  <Override PartName="/word/footer287.xml" ContentType="application/vnd.openxmlformats-officedocument.wordprocessingml.footer+xml"/>
  <Override PartName="/word/footer288.xml" ContentType="application/vnd.openxmlformats-officedocument.wordprocessingml.footer+xml"/>
  <Override PartName="/word/footer289.xml" ContentType="application/vnd.openxmlformats-officedocument.wordprocessingml.footer+xml"/>
  <Override PartName="/word/footer290.xml" ContentType="application/vnd.openxmlformats-officedocument.wordprocessingml.footer+xml"/>
  <Override PartName="/word/footer291.xml" ContentType="application/vnd.openxmlformats-officedocument.wordprocessingml.footer+xml"/>
  <Override PartName="/word/footer292.xml" ContentType="application/vnd.openxmlformats-officedocument.wordprocessingml.footer+xml"/>
  <Override PartName="/word/footer293.xml" ContentType="application/vnd.openxmlformats-officedocument.wordprocessingml.footer+xml"/>
  <Override PartName="/word/footer294.xml" ContentType="application/vnd.openxmlformats-officedocument.wordprocessingml.footer+xml"/>
</Types>
</file>

<file path=_rels/.rels>&#65279;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 xmlns:w15="http://schemas.microsoft.com/office/word/2012/wordml" mc:Ignorable="w15">
  <w:body>
    <w:p>
      <w:pPr>
        <w:pStyle w:val="Style8"/>
        <w:keepNext w:val="0"/>
        <w:keepLines w:val="0"/>
        <w:widowControl w:val="0"/>
        <w:shd w:val="clear" w:color="auto" w:fill="auto"/>
        <w:bidi w:val="0"/>
        <w:spacing w:before="0" w:after="0" w:line="302" w:lineRule="auto"/>
        <w:ind w:left="0" w:right="0" w:firstLine="0"/>
        <w:jc w:val="center"/>
        <w:rPr>
          <w:sz w:val="22"/>
          <w:szCs w:val="22"/>
        </w:rPr>
      </w:pPr>
      <w:r>
        <w:rPr>
          <w:b/>
          <w:bCs/>
          <w:spacing w:val="0"/>
          <w:w w:val="100"/>
          <w:position w:val="0"/>
          <w:sz w:val="22"/>
          <w:szCs w:val="22"/>
          <w:shd w:val="clear" w:color="auto" w:fill="auto"/>
          <w:lang w:val="en-US" w:eastAsia="en-US" w:bidi="en-US"/>
        </w:rPr>
        <w:t xml:space="preserve">A. H. </w:t>
      </w:r>
      <w:r>
        <w:rPr>
          <w:b/>
          <w:b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Гребенюк</w:t>
      </w:r>
    </w:p>
    <w:p>
      <w:pPr>
        <w:pStyle w:val="Style8"/>
        <w:keepNext w:val="0"/>
        <w:keepLines w:val="0"/>
        <w:widowControl w:val="0"/>
        <w:shd w:val="clear" w:color="auto" w:fill="auto"/>
        <w:bidi w:val="0"/>
        <w:spacing w:before="0" w:after="800" w:line="302" w:lineRule="auto"/>
        <w:ind w:left="0" w:right="0" w:firstLine="0"/>
        <w:jc w:val="center"/>
        <w:rPr>
          <w:sz w:val="22"/>
          <w:szCs w:val="22"/>
        </w:rPr>
      </w:pPr>
      <w:r>
        <w:rPr>
          <w:b/>
          <w:b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О. Ю. Стрелова</w:t>
        <w:br/>
        <w:t>В. И. Легеза</w:t>
        <w:br/>
        <w:t>Е. Н. Степанова</w:t>
      </w:r>
    </w:p>
    <w:p>
      <w:pPr>
        <w:pStyle w:val="Style11"/>
        <w:keepNext w:val="0"/>
        <w:keepLines w:val="0"/>
        <w:widowControl w:val="0"/>
        <w:shd w:val="clear" w:color="auto" w:fill="auto"/>
        <w:bidi w:val="0"/>
        <w:spacing w:before="0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ОСНОВЫ РАДИОБИОЛОГИИ</w:t>
        <w:br/>
        <w:t>И РАДИАЦИОННОЙ</w:t>
        <w:br/>
        <w:t>МЕДИЦИНЫ</w:t>
      </w:r>
    </w:p>
    <w:p>
      <w:pPr>
        <w:pStyle w:val="Style13"/>
        <w:keepNext w:val="0"/>
        <w:keepLines w:val="0"/>
        <w:widowControl w:val="0"/>
        <w:shd w:val="clear" w:color="auto" w:fill="auto"/>
        <w:bidi w:val="0"/>
        <w:spacing w:before="0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Учебное пособие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000" w:line="348" w:lineRule="auto"/>
        <w:ind w:left="0" w:right="0" w:firstLine="0"/>
        <w:jc w:val="center"/>
        <w:rPr>
          <w:sz w:val="16"/>
          <w:szCs w:val="16"/>
        </w:rPr>
      </w:pPr>
      <w:r>
        <w:rPr>
          <w:spacing w:val="0"/>
          <w:w w:val="100"/>
          <w:position w:val="0"/>
          <w:sz w:val="16"/>
          <w:szCs w:val="16"/>
          <w:shd w:val="clear" w:color="auto" w:fill="auto"/>
          <w:lang w:val="ru-RU" w:eastAsia="ru-RU" w:bidi="ru-RU"/>
        </w:rPr>
        <w:t>Рекомендовано Учебно-методическим объединением</w:t>
        <w:br/>
        <w:t>по медицинскому и фармацевтическому образованию вузов России</w:t>
        <w:br/>
        <w:t>в качестве учебного пособия для студентов, обучающихся по специальностям</w:t>
        <w:br/>
        <w:t>высшего профессионального образования группы Здравоохранение</w:t>
      </w:r>
    </w:p>
    <w:p>
      <w:pPr>
        <w:pStyle w:val="Style8"/>
        <w:keepNext w:val="0"/>
        <w:keepLines w:val="0"/>
        <w:widowControl w:val="0"/>
        <w:shd w:val="clear" w:color="auto" w:fill="auto"/>
        <w:bidi w:val="0"/>
        <w:spacing w:before="0" w:after="0" w:line="252" w:lineRule="auto"/>
        <w:ind w:left="0" w:right="0" w:firstLine="0"/>
        <w:jc w:val="center"/>
        <w:sectPr>
          <w:footnotePr>
            <w:pos w:val="pageBottom"/>
            <w:numFmt w:val="decimal"/>
            <w:numRestart w:val="continuous"/>
          </w:footnotePr>
          <w:pgSz w:w="8400" w:h="11900"/>
          <w:pgMar w:top="2070" w:right="1331" w:bottom="879" w:left="905" w:header="1642" w:footer="451" w:gutter="0"/>
          <w:pgNumType w:start="1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Санкт-Петербург</w:t>
        <w:br/>
        <w:t>ФОЛИАНТ</w:t>
        <w:br/>
        <w:t>2012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  <w:rPr>
          <w:sz w:val="17"/>
          <w:szCs w:val="17"/>
        </w:rPr>
      </w:pPr>
      <w:r>
        <w:rPr>
          <w:b/>
          <w:bCs/>
          <w:spacing w:val="0"/>
          <w:w w:val="100"/>
          <w:position w:val="0"/>
          <w:sz w:val="16"/>
          <w:szCs w:val="16"/>
          <w:shd w:val="clear" w:color="auto" w:fill="auto"/>
          <w:lang w:val="ru-RU" w:eastAsia="ru-RU" w:bidi="ru-RU"/>
        </w:rPr>
        <w:t xml:space="preserve">УДК </w:t>
      </w:r>
      <w:r>
        <w:rPr>
          <w:b/>
          <w:bCs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>«1X014 4»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260" w:line="240" w:lineRule="auto"/>
        <w:ind w:left="0" w:right="0" w:firstLine="0"/>
        <w:jc w:val="left"/>
        <w:rPr>
          <w:sz w:val="16"/>
          <w:szCs w:val="16"/>
        </w:rPr>
      </w:pPr>
      <w:r>
        <w:rPr>
          <w:b/>
          <w:bCs/>
          <w:spacing w:val="0"/>
          <w:w w:val="100"/>
          <w:position w:val="0"/>
          <w:sz w:val="16"/>
          <w:szCs w:val="16"/>
          <w:shd w:val="clear" w:color="auto" w:fill="auto"/>
          <w:lang w:val="en-US" w:eastAsia="en-US" w:bidi="en-US"/>
        </w:rPr>
        <w:t xml:space="preserve">hhK </w:t>
      </w:r>
      <w:r>
        <w:rPr>
          <w:b/>
          <w:bCs/>
          <w:spacing w:val="0"/>
          <w:w w:val="100"/>
          <w:position w:val="0"/>
          <w:sz w:val="16"/>
          <w:szCs w:val="16"/>
          <w:shd w:val="clear" w:color="auto" w:fill="auto"/>
          <w:lang w:val="ru-RU" w:eastAsia="ru-RU" w:bidi="ru-RU"/>
        </w:rPr>
        <w:t>03 «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620"/>
        <w:jc w:val="left"/>
        <w:rPr>
          <w:sz w:val="16"/>
          <w:szCs w:val="16"/>
        </w:rPr>
      </w:pPr>
      <w:r>
        <w:rPr>
          <w:b/>
          <w:bCs/>
          <w:spacing w:val="0"/>
          <w:w w:val="100"/>
          <w:position w:val="0"/>
          <w:sz w:val="16"/>
          <w:szCs w:val="16"/>
          <w:shd w:val="clear" w:color="auto" w:fill="auto"/>
          <w:lang w:val="ru-RU" w:eastAsia="ru-RU" w:bidi="ru-RU"/>
        </w:rPr>
        <w:t>Рвцаимиты: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00"/>
        <w:ind w:left="900" w:right="0" w:firstLine="8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^■■■дующий кафедрой мобилизационной подготовки здравоохранения и медицины катастроф Санкт-Петербургского государственного медицинского университета имени академика И. П. Павлова кандидат медицинских наук доцент </w:t>
      </w: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А. В. Старков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00"/>
        <w:ind w:left="900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Профессор кафедры безопасности жизнедеятельности и медицины катастроф Первого Московского государственного медицинского университета имени И. М. Сеченова доктор медицинских наук </w:t>
      </w: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А. А. Тимошевский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260" w:line="269" w:lineRule="auto"/>
        <w:ind w:left="900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Заведующий кафедрой токсикологии и экстремальной медицины Северо-Западного государственного медицинского университета имени И. И. Мечникова доктор медицинских наук профессор </w:t>
      </w: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В. В. Шилов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0" w:line="257" w:lineRule="auto"/>
        <w:ind w:left="0" w:right="0" w:firstLine="620"/>
        <w:jc w:val="left"/>
        <w:rPr>
          <w:sz w:val="18"/>
          <w:szCs w:val="18"/>
        </w:rPr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>Гребенюк А. Н., Стрелова О. Ю., Легеза В. И., Степанова Е. Н.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line="271" w:lineRule="auto"/>
        <w:ind w:left="900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Основы радиобиологии и радиационной медицины: Учебное пособие. — СПб: ООО «Издательство ФОЛИАНТ», 2012. — 232 с.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260"/>
        <w:ind w:left="0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ISBN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978-5-93929-223-8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учебном пособии дана общая характеристика ионизирующих излучений, описаны механизмы биологического действия радиации на различных уровнях организации живой материи, представлены основные клинические формы радиационных пора</w:t>
        <w:softHyphen/>
        <w:t>жений от внешнего облучения, инкорпорации радионуклидов, местных, сочетанных и комбинированных радиационных воздействий, приведены фармакологические препараты, которые применяются для профилактики и лечения основных клиниче</w:t>
        <w:softHyphen/>
        <w:t>ских проявлений радиационных поражений.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880" w:line="269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Пособие написано в соответствии с программой обучения студентов медицинских и фармацевтических вузов и факультетов по разделу «Токсикология и медицинская защита» учебной дисциплины «Военная и экстремальная медицина» («Безопас</w:t>
        <w:softHyphen/>
        <w:t>ность жизнедеятельности. Медицина катастроф»).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3100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© Коллектив авторов, 2012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0" w:right="0" w:firstLine="960"/>
        <w:jc w:val="left"/>
      </w:pPr>
      <w:r>
        <mc:AlternateContent>
          <mc:Choice Requires="wps">
            <w:drawing>
              <wp:anchor distT="0" distB="0" distL="114300" distR="114300" simplePos="0" relativeHeight="125829378" behindDoc="0" locked="0" layoutInCell="1" allowOverlap="1">
                <wp:simplePos x="0" y="0"/>
                <wp:positionH relativeFrom="page">
                  <wp:posOffset>977900</wp:posOffset>
                </wp:positionH>
                <wp:positionV relativeFrom="paragraph">
                  <wp:posOffset>12700</wp:posOffset>
                </wp:positionV>
                <wp:extent cx="1155065" cy="130810"/>
                <wp:wrapSquare wrapText="right"/>
                <wp:docPr id="1" name="Shape 1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155065" cy="13081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5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en-US" w:eastAsia="en-US" w:bidi="en-US"/>
                              </w:rPr>
                              <w:t xml:space="preserve">ISBN 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978-5-93929-223-8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77.pt;margin-top:1.pt;width:90.950000000000003pt;height:10.300000000000001pt;z-index:-125829375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1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en-US" w:eastAsia="en-US" w:bidi="en-US"/>
                        </w:rPr>
                        <w:t xml:space="preserve">ISBN </w:t>
                      </w: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978-5-93929-223-8</w: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© ООО «Издательство ФОЛИАНТ», 2012</w:t>
      </w:r>
    </w:p>
    <w:p>
      <w:pPr>
        <w:pStyle w:val="Style8"/>
        <w:keepNext w:val="0"/>
        <w:keepLines w:val="0"/>
        <w:widowControl w:val="0"/>
        <w:shd w:val="clear" w:color="auto" w:fill="auto"/>
        <w:bidi w:val="0"/>
        <w:spacing w:before="0" w:after="460" w:line="240" w:lineRule="auto"/>
        <w:ind w:left="0" w:right="0" w:firstLine="7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АВТОРСКИЙ КОЛЛЕКТИВ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line="264" w:lineRule="auto"/>
        <w:ind w:right="0"/>
        <w:jc w:val="left"/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Гребенюк Александр Николаевич —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начальник кафедры военной токсикологии и медицинской защиты Военно-медицинской академии имени С. М. Кирова — главный токсиколог-радиолог Министерства обороны Российской Федерации, доктор медицинских наук, профессор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/>
        <w:ind w:right="0"/>
        <w:jc w:val="left"/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Стрелова Ольга Юрьевна —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исполняющая обязанности заведующей кафедрой фармацевтической химии Санкт-Петербургской государственной химико-фармацевтической академии, кандидат химических наук, доцент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line="264" w:lineRule="auto"/>
        <w:ind w:right="0"/>
        <w:jc w:val="left"/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Легеза Владимир Иванович —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главный научный сотрудник Научно-исследовательского испытательного центра (медико-биологической защиты) Научно-исследовательского испытательного института военной медицины Военно-медицинской академии имени С. М. Кирова, лауреат Государственной премии СССР, заслуженный деятель науки РФ, доктор медицинских наук, профессор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/>
        <w:ind w:right="0"/>
        <w:jc w:val="left"/>
        <w:sectPr>
          <w:footnotePr>
            <w:pos w:val="pageBottom"/>
            <w:numFmt w:val="decimal"/>
            <w:numRestart w:val="continuous"/>
          </w:footnotePr>
          <w:pgSz w:w="8400" w:h="11900"/>
          <w:pgMar w:top="873" w:right="654" w:bottom="882" w:left="1482" w:header="445" w:footer="454" w:gutter="0"/>
          <w:cols w:space="720"/>
          <w:noEndnote/>
          <w:rtlGutter w:val="0"/>
          <w:docGrid w:linePitch="360"/>
        </w:sectPr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>Степанова Елена Николаевна —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доцент кафедры фармацевтической химии Санкт-Петербургской государственной химико-фармацевтической академии, кандидат фармацевтических наук, доцент</w:t>
      </w:r>
    </w:p>
    <w:p>
      <w:pPr>
        <w:pStyle w:val="Style8"/>
        <w:keepNext w:val="0"/>
        <w:keepLines w:val="0"/>
        <w:widowControl w:val="0"/>
        <w:shd w:val="clear" w:color="auto" w:fill="auto"/>
        <w:bidi w:val="0"/>
        <w:spacing w:before="1120" w:after="48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ОГЛАВЛЕНИЕ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186" w:val="right"/>
        </w:tabs>
        <w:bidi w:val="0"/>
        <w:spacing w:before="0" w:after="140"/>
        <w:ind w:left="0" w:right="0" w:firstLine="0"/>
        <w:jc w:val="both"/>
      </w:pPr>
      <w:r>
        <w:fldChar w:fldCharType="begin"/>
        <w:instrText xml:space="preserve"> TOC \o "1-5" \h \z </w:instrText>
        <w:fldChar w:fldCharType="separate"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Список используемых сокращений</w:t>
        <w:tab/>
        <w:t xml:space="preserve"> 7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186" w:val="right"/>
        </w:tabs>
        <w:bidi w:val="0"/>
        <w:spacing w:before="0" w:after="140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Введение</w:t>
        <w:tab/>
        <w:t xml:space="preserve"> 8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101" w:val="center"/>
        </w:tabs>
        <w:bidi w:val="0"/>
        <w:spacing w:before="0"/>
        <w:ind w:left="0" w:right="0" w:firstLine="0"/>
        <w:jc w:val="both"/>
      </w:pPr>
      <w:hyperlink w:anchor="bookmark2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Глава 1. Введение в радиобиологию</w:t>
          <w:tab/>
          <w:t xml:space="preserve"> 10</w:t>
        </w:r>
      </w:hyperlink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101" w:val="center"/>
        </w:tabs>
        <w:bidi w:val="0"/>
        <w:spacing w:before="0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Учебные вопросы</w:t>
        <w:tab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10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101" w:val="center"/>
        </w:tabs>
        <w:bidi w:val="0"/>
        <w:spacing w:before="0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Базисные знания</w:t>
        <w:tab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10</w:t>
      </w:r>
    </w:p>
    <w:p>
      <w:pPr>
        <w:pStyle w:val="Style27"/>
        <w:keepNext w:val="0"/>
        <w:keepLines w:val="0"/>
        <w:widowControl w:val="0"/>
        <w:numPr>
          <w:ilvl w:val="1"/>
          <w:numId w:val="1"/>
        </w:numPr>
        <w:shd w:val="clear" w:color="auto" w:fill="auto"/>
        <w:tabs>
          <w:tab w:pos="1120" w:val="left"/>
        </w:tabs>
        <w:bidi w:val="0"/>
        <w:spacing w:before="0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Радиобиология: предмет, цель и задачи учебной дисциплины . . 10</w:t>
      </w:r>
    </w:p>
    <w:p>
      <w:pPr>
        <w:pStyle w:val="Style27"/>
        <w:keepNext w:val="0"/>
        <w:keepLines w:val="0"/>
        <w:widowControl w:val="0"/>
        <w:numPr>
          <w:ilvl w:val="1"/>
          <w:numId w:val="1"/>
        </w:numPr>
        <w:shd w:val="clear" w:color="auto" w:fill="auto"/>
        <w:tabs>
          <w:tab w:pos="1125" w:val="left"/>
          <w:tab w:leader="dot" w:pos="6101" w:val="center"/>
        </w:tabs>
        <w:bidi w:val="0"/>
        <w:spacing w:before="0"/>
        <w:ind w:left="0" w:right="0"/>
        <w:jc w:val="both"/>
      </w:pPr>
      <w:hyperlink w:anchor="bookmark10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Виды ионизирующих излучений и их свойства</w:t>
          <w:tab/>
          <w:t xml:space="preserve"> 17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1"/>
        </w:numPr>
        <w:shd w:val="clear" w:color="auto" w:fill="auto"/>
        <w:tabs>
          <w:tab w:pos="1125" w:val="left"/>
          <w:tab w:leader="dot" w:pos="6101" w:val="center"/>
        </w:tabs>
        <w:bidi w:val="0"/>
        <w:spacing w:before="0"/>
        <w:ind w:left="0" w:right="0"/>
        <w:jc w:val="both"/>
      </w:pPr>
      <w:hyperlink w:anchor="bookmark13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Количественная оценка ионизирующих излучений</w:t>
          <w:tab/>
          <w:t xml:space="preserve"> 21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1"/>
        </w:numPr>
        <w:shd w:val="clear" w:color="auto" w:fill="auto"/>
        <w:tabs>
          <w:tab w:pos="1120" w:val="left"/>
          <w:tab w:leader="dot" w:pos="6101" w:val="center"/>
        </w:tabs>
        <w:bidi w:val="0"/>
        <w:spacing w:before="0"/>
        <w:ind w:left="0" w:right="0"/>
        <w:jc w:val="both"/>
      </w:pPr>
      <w:hyperlink w:anchor="bookmark16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Основные источники ионизирующих излучений</w:t>
          <w:tab/>
          <w:t xml:space="preserve"> 26</w:t>
        </w:r>
      </w:hyperlink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186" w:val="right"/>
        </w:tabs>
        <w:bidi w:val="0"/>
        <w:spacing w:before="0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Литература для самоподготовки</w:t>
        <w:tab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34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186" w:val="right"/>
        </w:tabs>
        <w:bidi w:val="0"/>
        <w:spacing w:before="0" w:after="140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Вопросы для самоконтроля</w:t>
        <w:tab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34</w:t>
      </w:r>
    </w:p>
    <w:p>
      <w:pPr>
        <w:pStyle w:val="Style27"/>
        <w:keepNext w:val="0"/>
        <w:keepLines w:val="0"/>
        <w:widowControl w:val="0"/>
        <w:shd w:val="clear" w:color="auto" w:fill="auto"/>
        <w:bidi w:val="0"/>
        <w:spacing w:before="0"/>
        <w:ind w:left="0" w:right="0" w:firstLine="0"/>
        <w:jc w:val="both"/>
      </w:pPr>
      <w:hyperlink w:anchor="bookmark19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Глава 2. Основы биологического действия ионизирующих излучений . . 36</w:t>
        </w:r>
      </w:hyperlink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186" w:val="right"/>
        </w:tabs>
        <w:bidi w:val="0"/>
        <w:spacing w:before="0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Учебные вопросы</w:t>
        <w:tab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36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186" w:val="right"/>
        </w:tabs>
        <w:bidi w:val="0"/>
        <w:spacing w:before="0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Базисные знания</w:t>
        <w:tab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36</w:t>
      </w:r>
    </w:p>
    <w:p>
      <w:pPr>
        <w:pStyle w:val="Style27"/>
        <w:keepNext w:val="0"/>
        <w:keepLines w:val="0"/>
        <w:widowControl w:val="0"/>
        <w:numPr>
          <w:ilvl w:val="1"/>
          <w:numId w:val="3"/>
        </w:numPr>
        <w:shd w:val="clear" w:color="auto" w:fill="auto"/>
        <w:tabs>
          <w:tab w:pos="1130" w:val="left"/>
          <w:tab w:leader="dot" w:pos="6186" w:val="right"/>
        </w:tabs>
        <w:bidi w:val="0"/>
        <w:spacing w:before="0"/>
        <w:ind w:left="0" w:right="0"/>
        <w:jc w:val="both"/>
      </w:pPr>
      <w:hyperlink w:anchor="bookmark22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Основные стадии действия ионизирующих излучений</w:t>
          <w:tab/>
          <w:t xml:space="preserve"> 36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3"/>
        </w:numPr>
        <w:shd w:val="clear" w:color="auto" w:fill="auto"/>
        <w:tabs>
          <w:tab w:pos="1130" w:val="left"/>
        </w:tabs>
        <w:bidi w:val="0"/>
        <w:spacing w:before="0"/>
        <w:ind w:left="0" w:right="0"/>
        <w:jc w:val="both"/>
      </w:pPr>
      <w:hyperlink w:anchor="bookmark24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Молекулярные механизмы лучевого повреждения биосистем . . 41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3"/>
        </w:numPr>
        <w:shd w:val="clear" w:color="auto" w:fill="auto"/>
        <w:tabs>
          <w:tab w:pos="1130" w:val="left"/>
          <w:tab w:leader="dot" w:pos="6186" w:val="right"/>
        </w:tabs>
        <w:bidi w:val="0"/>
        <w:spacing w:before="0"/>
        <w:ind w:left="0" w:right="0"/>
        <w:jc w:val="both"/>
      </w:pPr>
      <w:hyperlink w:anchor="bookmark28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Реакции клеток и тканей на облучение</w:t>
          <w:tab/>
          <w:t xml:space="preserve"> 51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3"/>
        </w:numPr>
        <w:shd w:val="clear" w:color="auto" w:fill="auto"/>
        <w:tabs>
          <w:tab w:pos="1130" w:val="left"/>
          <w:tab w:leader="dot" w:pos="6186" w:val="right"/>
        </w:tabs>
        <w:bidi w:val="0"/>
        <w:spacing w:before="0"/>
        <w:ind w:left="0" w:right="0"/>
        <w:jc w:val="both"/>
      </w:pPr>
      <w:hyperlink w:anchor="bookmark31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Радиобиологические эффекты</w:t>
          <w:tab/>
          <w:t xml:space="preserve"> 57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3"/>
        </w:numPr>
        <w:shd w:val="clear" w:color="auto" w:fill="auto"/>
        <w:tabs>
          <w:tab w:pos="1093" w:val="left"/>
          <w:tab w:leader="dot" w:pos="6187" w:val="right"/>
        </w:tabs>
        <w:bidi w:val="0"/>
        <w:spacing w:before="0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ратура для самоподготовки</w:t>
        <w:tab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62</w:t>
      </w:r>
    </w:p>
    <w:p>
      <w:pPr>
        <w:pStyle w:val="Style27"/>
        <w:keepNext w:val="0"/>
        <w:keepLines w:val="0"/>
        <w:widowControl w:val="0"/>
        <w:numPr>
          <w:ilvl w:val="1"/>
          <w:numId w:val="3"/>
        </w:numPr>
        <w:shd w:val="clear" w:color="auto" w:fill="auto"/>
        <w:tabs>
          <w:tab w:pos="1240" w:val="left"/>
          <w:tab w:leader="dot" w:pos="6186" w:val="right"/>
        </w:tabs>
        <w:bidi w:val="0"/>
        <w:spacing w:before="0" w:after="140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осы для самоконтроля</w:t>
        <w:tab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63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5881" w:val="right"/>
        </w:tabs>
        <w:bidi w:val="0"/>
        <w:spacing w:before="0" w:line="276" w:lineRule="auto"/>
        <w:ind w:left="0" w:right="360" w:firstLine="0"/>
        <w:jc w:val="right"/>
      </w:pPr>
      <w:hyperlink w:anchor="bookmark36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Глава 3. Лучевые поражения в результате внешнего общего (тотального) облучения</w:t>
          <w:tab/>
          <w:t xml:space="preserve"> 64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3"/>
        </w:numPr>
        <w:shd w:val="clear" w:color="auto" w:fill="auto"/>
        <w:tabs>
          <w:tab w:pos="1230" w:val="left"/>
          <w:tab w:leader="dot" w:pos="6186" w:val="right"/>
        </w:tabs>
        <w:bidi w:val="0"/>
        <w:spacing w:before="0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ные вопросы</w:t>
        <w:tab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64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186" w:val="right"/>
        </w:tabs>
        <w:bidi w:val="0"/>
        <w:spacing w:before="0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Базисные знания</w:t>
        <w:tab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65</w:t>
      </w:r>
    </w:p>
    <w:p>
      <w:pPr>
        <w:pStyle w:val="Style27"/>
        <w:keepNext w:val="0"/>
        <w:keepLines w:val="0"/>
        <w:widowControl w:val="0"/>
        <w:numPr>
          <w:ilvl w:val="1"/>
          <w:numId w:val="5"/>
        </w:numPr>
        <w:shd w:val="clear" w:color="auto" w:fill="auto"/>
        <w:tabs>
          <w:tab w:pos="1150" w:val="left"/>
          <w:tab w:leader="dot" w:pos="6186" w:val="right"/>
        </w:tabs>
        <w:bidi w:val="0"/>
        <w:spacing w:before="0" w:line="266" w:lineRule="auto"/>
        <w:ind w:left="1040" w:right="0" w:hanging="340"/>
        <w:jc w:val="both"/>
      </w:pPr>
      <w:hyperlink w:anchor="bookmark39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Классификация лучевых поражений в зависимости от вида и условий воздействия</w:t>
          <w:tab/>
          <w:t xml:space="preserve"> 65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5"/>
        </w:numPr>
        <w:shd w:val="clear" w:color="auto" w:fill="auto"/>
        <w:tabs>
          <w:tab w:pos="1130" w:val="left"/>
          <w:tab w:leader="dot" w:pos="6186" w:val="right"/>
        </w:tabs>
        <w:bidi w:val="0"/>
        <w:spacing w:before="0"/>
        <w:ind w:left="0" w:right="0"/>
        <w:jc w:val="both"/>
      </w:pPr>
      <w:hyperlink w:anchor="bookmark43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Костномозговая форма острой лучевой болезни</w:t>
          <w:tab/>
          <w:t xml:space="preserve"> 71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5"/>
        </w:numPr>
        <w:shd w:val="clear" w:color="auto" w:fill="auto"/>
        <w:tabs>
          <w:tab w:pos="1130" w:val="left"/>
          <w:tab w:leader="dot" w:pos="6186" w:val="right"/>
        </w:tabs>
        <w:bidi w:val="0"/>
        <w:spacing w:before="0"/>
        <w:ind w:left="0" w:right="0"/>
        <w:jc w:val="both"/>
      </w:pPr>
      <w:hyperlink w:anchor="bookmark46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Кишечная форма острой лучевой болезни</w:t>
          <w:tab/>
          <w:t xml:space="preserve"> 92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5"/>
        </w:numPr>
        <w:shd w:val="clear" w:color="auto" w:fill="auto"/>
        <w:tabs>
          <w:tab w:pos="1130" w:val="left"/>
          <w:tab w:leader="dot" w:pos="6186" w:val="right"/>
        </w:tabs>
        <w:bidi w:val="0"/>
        <w:spacing w:before="0"/>
        <w:ind w:left="0" w:right="0"/>
        <w:jc w:val="both"/>
      </w:pPr>
      <w:hyperlink w:anchor="bookmark49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Токсемическая форма острой лучевой болезни</w:t>
          <w:tab/>
          <w:t xml:space="preserve"> 97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5"/>
        </w:numPr>
        <w:shd w:val="clear" w:color="auto" w:fill="auto"/>
        <w:tabs>
          <w:tab w:pos="1109" w:val="left"/>
          <w:tab w:leader="dot" w:pos="6203" w:val="right"/>
        </w:tabs>
        <w:bidi w:val="0"/>
        <w:spacing w:before="0"/>
        <w:ind w:left="0" w:right="0"/>
        <w:jc w:val="both"/>
      </w:pPr>
      <w:hyperlink w:anchor="bookmark52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Церебральная форма острой лучевой болезни</w:t>
          <w:tab/>
          <w:t xml:space="preserve"> 97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5"/>
        </w:numPr>
        <w:shd w:val="clear" w:color="auto" w:fill="auto"/>
        <w:tabs>
          <w:tab w:pos="1134" w:val="left"/>
          <w:tab w:leader="dot" w:pos="6203" w:val="right"/>
        </w:tabs>
        <w:bidi w:val="0"/>
        <w:spacing w:before="0" w:line="262" w:lineRule="auto"/>
        <w:ind w:left="1020" w:right="0" w:hanging="320"/>
        <w:jc w:val="left"/>
      </w:pPr>
      <w:hyperlink w:anchor="bookmark54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Радиационные поражения при внешнем неравномерном облучении</w:t>
          <w:tab/>
          <w:t>100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5"/>
        </w:numPr>
        <w:shd w:val="clear" w:color="auto" w:fill="auto"/>
        <w:tabs>
          <w:tab w:pos="1134" w:val="left"/>
          <w:tab w:leader="dot" w:pos="6203" w:val="right"/>
        </w:tabs>
        <w:bidi w:val="0"/>
        <w:spacing w:before="0" w:line="262" w:lineRule="auto"/>
        <w:ind w:left="1020" w:right="0" w:hanging="320"/>
        <w:jc w:val="left"/>
      </w:pPr>
      <w:hyperlink w:anchor="bookmark57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Особенности радиационных поражений при воздействии нейтронов</w:t>
          <w:tab/>
          <w:t>102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5"/>
        </w:numPr>
        <w:shd w:val="clear" w:color="auto" w:fill="auto"/>
        <w:tabs>
          <w:tab w:pos="1129" w:val="left"/>
          <w:tab w:leader="dot" w:pos="5814" w:val="left"/>
        </w:tabs>
        <w:bidi w:val="0"/>
        <w:spacing w:before="0" w:line="276" w:lineRule="auto"/>
        <w:ind w:left="1020" w:right="0" w:hanging="32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Общие принципы лечения лучевых поражений, возникающих в результате внешнего общего (тотального) облучения</w:t>
        <w:tab/>
        <w:t>105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203" w:val="right"/>
        </w:tabs>
        <w:bidi w:val="0"/>
        <w:spacing w:before="0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Литература для самоподготовки</w:t>
        <w:tab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110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203" w:val="right"/>
        </w:tabs>
        <w:bidi w:val="0"/>
        <w:spacing w:before="0" w:after="140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Вопросы для самоконтроля</w:t>
        <w:tab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111</w:t>
      </w:r>
    </w:p>
    <w:p>
      <w:pPr>
        <w:pStyle w:val="Style27"/>
        <w:keepNext w:val="0"/>
        <w:keepLines w:val="0"/>
        <w:widowControl w:val="0"/>
        <w:shd w:val="clear" w:color="auto" w:fill="auto"/>
        <w:bidi w:val="0"/>
        <w:spacing w:before="0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Глава 4. Поражения в результате внутреннего радиоактивного заражения 113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203" w:val="right"/>
        </w:tabs>
        <w:bidi w:val="0"/>
        <w:spacing w:before="0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Учебные вопросы</w:t>
        <w:tab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113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203" w:val="right"/>
        </w:tabs>
        <w:bidi w:val="0"/>
        <w:spacing w:before="0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Базисные знания</w:t>
        <w:tab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114</w:t>
      </w:r>
    </w:p>
    <w:p>
      <w:pPr>
        <w:pStyle w:val="Style27"/>
        <w:keepNext w:val="0"/>
        <w:keepLines w:val="0"/>
        <w:widowControl w:val="0"/>
        <w:numPr>
          <w:ilvl w:val="1"/>
          <w:numId w:val="7"/>
        </w:numPr>
        <w:shd w:val="clear" w:color="auto" w:fill="auto"/>
        <w:tabs>
          <w:tab w:pos="1134" w:val="left"/>
          <w:tab w:leader="dot" w:pos="6203" w:val="right"/>
        </w:tabs>
        <w:bidi w:val="0"/>
        <w:spacing w:before="0" w:line="276" w:lineRule="auto"/>
        <w:ind w:left="1020" w:right="0" w:hanging="320"/>
        <w:jc w:val="left"/>
      </w:pPr>
      <w:hyperlink w:anchor="bookmark65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Условия возникновения и общая характеристика поражений от внутреннего радиоактивного заражения</w:t>
          <w:tab/>
          <w:t>114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7"/>
        </w:numPr>
        <w:shd w:val="clear" w:color="auto" w:fill="auto"/>
        <w:tabs>
          <w:tab w:pos="1114" w:val="left"/>
          <w:tab w:leader="dot" w:pos="6203" w:val="right"/>
        </w:tabs>
        <w:bidi w:val="0"/>
        <w:spacing w:before="0"/>
        <w:ind w:left="0" w:right="0"/>
        <w:jc w:val="both"/>
      </w:pPr>
      <w:hyperlink w:anchor="bookmark68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Радиоактивность: основные понятия и термины</w:t>
          <w:tab/>
          <w:t>115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7"/>
        </w:numPr>
        <w:shd w:val="clear" w:color="auto" w:fill="auto"/>
        <w:tabs>
          <w:tab w:pos="1134" w:val="left"/>
        </w:tabs>
        <w:bidi w:val="0"/>
        <w:spacing w:before="0" w:line="276" w:lineRule="auto"/>
        <w:ind w:left="1020" w:right="0" w:hanging="32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Факторы, определяющие дозу облучения, поглощенную при радиоактивном заражении, и ее биологический эффект . . . 119</w:t>
      </w:r>
    </w:p>
    <w:p>
      <w:pPr>
        <w:pStyle w:val="Style27"/>
        <w:keepNext w:val="0"/>
        <w:keepLines w:val="0"/>
        <w:widowControl w:val="0"/>
        <w:numPr>
          <w:ilvl w:val="1"/>
          <w:numId w:val="7"/>
        </w:numPr>
        <w:shd w:val="clear" w:color="auto" w:fill="auto"/>
        <w:tabs>
          <w:tab w:pos="1134" w:val="left"/>
          <w:tab w:leader="dot" w:pos="6203" w:val="right"/>
        </w:tabs>
        <w:bidi w:val="0"/>
        <w:spacing w:before="0"/>
        <w:ind w:left="1020" w:right="0" w:hanging="320"/>
        <w:jc w:val="left"/>
      </w:pPr>
      <w:hyperlink w:anchor="bookmark70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Кинетика радионуклидов в организме</w:t>
          <w:tab/>
          <w:t>122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7"/>
        </w:numPr>
        <w:shd w:val="clear" w:color="auto" w:fill="auto"/>
        <w:tabs>
          <w:tab w:pos="1134" w:val="left"/>
          <w:tab w:leader="dot" w:pos="6203" w:val="right"/>
        </w:tabs>
        <w:bidi w:val="0"/>
        <w:spacing w:before="0"/>
        <w:ind w:left="1020" w:right="0" w:hanging="320"/>
        <w:jc w:val="left"/>
      </w:pPr>
      <w:hyperlink w:anchor="bookmark74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Биологическое действие радиоактивных веществ</w:t>
          <w:tab/>
          <w:t>127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7"/>
        </w:numPr>
        <w:shd w:val="clear" w:color="auto" w:fill="auto"/>
        <w:tabs>
          <w:tab w:pos="1139" w:val="left"/>
          <w:tab w:leader="dot" w:pos="6203" w:val="right"/>
        </w:tabs>
        <w:bidi w:val="0"/>
        <w:spacing w:before="0"/>
        <w:ind w:left="1020" w:right="0" w:hanging="32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Лучевые поражения в результате алиментарного и ингаляционного поступления в организм продуктов ядерного деления (продуктов ядерного взрыва)</w:t>
        <w:tab/>
        <w:t>129</w:t>
      </w:r>
    </w:p>
    <w:p>
      <w:pPr>
        <w:pStyle w:val="Style27"/>
        <w:keepNext w:val="0"/>
        <w:keepLines w:val="0"/>
        <w:widowControl w:val="0"/>
        <w:numPr>
          <w:ilvl w:val="1"/>
          <w:numId w:val="7"/>
        </w:numPr>
        <w:shd w:val="clear" w:color="auto" w:fill="auto"/>
        <w:tabs>
          <w:tab w:pos="1119" w:val="left"/>
          <w:tab w:leader="dot" w:pos="6203" w:val="right"/>
        </w:tabs>
        <w:bidi w:val="0"/>
        <w:spacing w:before="0"/>
        <w:ind w:left="0" w:right="0"/>
        <w:jc w:val="both"/>
      </w:pPr>
      <w:hyperlink w:anchor="bookmark77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Профилактика поражений радионуклидами</w:t>
          <w:tab/>
          <w:t>135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7"/>
        </w:numPr>
        <w:shd w:val="clear" w:color="auto" w:fill="auto"/>
        <w:tabs>
          <w:tab w:pos="1134" w:val="left"/>
        </w:tabs>
        <w:bidi w:val="0"/>
        <w:spacing w:before="0" w:line="266" w:lineRule="auto"/>
        <w:ind w:left="1020" w:right="0" w:hanging="32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Особенности клиники и лечения радиационных поражений при инкорпорации основных аварийно опасных радионуклидов . 136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203" w:val="right"/>
        </w:tabs>
        <w:bidi w:val="0"/>
        <w:spacing w:before="0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Литература для самоподготовки</w:t>
        <w:tab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150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203" w:val="right"/>
        </w:tabs>
        <w:bidi w:val="0"/>
        <w:spacing w:before="0" w:after="140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Вопросы для самоконтроля</w:t>
        <w:tab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150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203" w:val="right"/>
        </w:tabs>
        <w:bidi w:val="0"/>
        <w:spacing w:before="0" w:line="254" w:lineRule="auto"/>
        <w:ind w:left="0" w:right="0" w:firstLine="0"/>
        <w:jc w:val="both"/>
      </w:pPr>
      <w:hyperlink w:anchor="bookmark80" w:tooltip="Current Document">
        <w:r>
          <w:rPr>
            <w:b/>
            <w:bCs/>
            <w:spacing w:val="0"/>
            <w:w w:val="100"/>
            <w:position w:val="0"/>
            <w:sz w:val="16"/>
            <w:szCs w:val="16"/>
            <w:shd w:val="clear" w:color="auto" w:fill="auto"/>
            <w:lang w:val="ru-RU" w:eastAsia="ru-RU" w:bidi="ru-RU"/>
          </w:rPr>
          <w:t xml:space="preserve">Глава </w:t>
        </w:r>
        <w:r>
          <w:rPr>
            <w:b/>
            <w:bCs/>
            <w:spacing w:val="0"/>
            <w:w w:val="100"/>
            <w:position w:val="0"/>
            <w:sz w:val="16"/>
            <w:szCs w:val="16"/>
            <w:shd w:val="clear" w:color="auto" w:fill="auto"/>
            <w:lang w:val="en-US" w:eastAsia="en-US" w:bidi="en-US"/>
          </w:rPr>
          <w:t xml:space="preserve">S. </w:t>
        </w:r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Местные лучевые поражения</w:t>
          <w:tab/>
          <w:t>152</w:t>
        </w:r>
      </w:hyperlink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203" w:val="right"/>
        </w:tabs>
        <w:bidi w:val="0"/>
        <w:spacing w:before="0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Учебные вопросы</w:t>
        <w:tab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152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203" w:val="right"/>
        </w:tabs>
        <w:bidi w:val="0"/>
        <w:spacing w:before="0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Базисные знания</w:t>
        <w:tab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152</w:t>
      </w:r>
    </w:p>
    <w:p>
      <w:pPr>
        <w:pStyle w:val="Style27"/>
        <w:keepNext w:val="0"/>
        <w:keepLines w:val="0"/>
        <w:widowControl w:val="0"/>
        <w:numPr>
          <w:ilvl w:val="1"/>
          <w:numId w:val="9"/>
        </w:numPr>
        <w:shd w:val="clear" w:color="auto" w:fill="auto"/>
        <w:tabs>
          <w:tab w:pos="1129" w:val="left"/>
          <w:tab w:leader="dot" w:pos="6203" w:val="right"/>
        </w:tabs>
        <w:bidi w:val="0"/>
        <w:spacing w:before="0" w:line="266" w:lineRule="auto"/>
        <w:ind w:left="1020" w:right="0" w:hanging="320"/>
        <w:jc w:val="left"/>
      </w:pPr>
      <w:hyperlink w:anchor="bookmark82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Патогенез и основные клинические проявления лучевых поражений кожи</w:t>
          <w:tab/>
          <w:t>153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9"/>
        </w:numPr>
        <w:shd w:val="clear" w:color="auto" w:fill="auto"/>
        <w:tabs>
          <w:tab w:pos="1129" w:val="left"/>
          <w:tab w:leader="dot" w:pos="6203" w:val="right"/>
        </w:tabs>
        <w:bidi w:val="0"/>
        <w:spacing w:before="0" w:line="266" w:lineRule="auto"/>
        <w:ind w:left="1020" w:right="0" w:hanging="320"/>
        <w:jc w:val="left"/>
      </w:pPr>
      <w:hyperlink w:anchor="bookmark84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Патогенез и основные клинические проявления лучевого орофарингеального синдрома</w:t>
          <w:tab/>
          <w:t>159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9"/>
        </w:numPr>
        <w:shd w:val="clear" w:color="auto" w:fill="auto"/>
        <w:tabs>
          <w:tab w:pos="1129" w:val="left"/>
          <w:tab w:leader="dot" w:pos="6203" w:val="right"/>
        </w:tabs>
        <w:bidi w:val="0"/>
        <w:spacing w:before="0" w:line="259" w:lineRule="auto"/>
        <w:ind w:left="1020" w:right="0" w:hanging="320"/>
        <w:jc w:val="left"/>
      </w:pPr>
      <w:hyperlink w:anchor="bookmark86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Краткая характеристика лекарственных средств для лечения местных лучевых поражений</w:t>
          <w:tab/>
          <w:t>161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9"/>
        </w:numPr>
        <w:shd w:val="clear" w:color="auto" w:fill="auto"/>
        <w:tabs>
          <w:tab w:pos="1104" w:val="left"/>
          <w:tab w:leader="dot" w:pos="5814" w:val="left"/>
        </w:tabs>
        <w:bidi w:val="0"/>
        <w:spacing w:before="0"/>
        <w:ind w:left="0" w:right="0"/>
        <w:jc w:val="both"/>
      </w:pPr>
      <w:hyperlink w:anchor="bookmark89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Общие принципы лечения местных лучевых поражений</w:t>
          <w:tab/>
          <w:t>166</w:t>
        </w:r>
      </w:hyperlink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203" w:val="right"/>
        </w:tabs>
        <w:bidi w:val="0"/>
        <w:spacing w:before="0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Литература для самоподготовки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ab/>
        <w:t>170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203" w:val="right"/>
        </w:tabs>
        <w:bidi w:val="0"/>
        <w:spacing w:before="0"/>
        <w:ind w:left="0" w:right="0"/>
        <w:jc w:val="both"/>
        <w:sectPr>
          <w:footerReference w:type="default" r:id="rId5"/>
          <w:footerReference w:type="even" r:id="rId6"/>
          <w:footerReference w:type="first" r:id="rId7"/>
          <w:footnotePr>
            <w:pos w:val="pageBottom"/>
            <w:numFmt w:val="decimal"/>
            <w:numRestart w:val="continuous"/>
          </w:footnotePr>
          <w:pgSz w:w="8400" w:h="11900"/>
          <w:pgMar w:top="1138" w:right="953" w:bottom="837" w:left="1169" w:header="0" w:footer="3" w:gutter="0"/>
          <w:cols w:space="720"/>
          <w:noEndnote/>
          <w:titlePg/>
          <w:rtlGutter w:val="0"/>
          <w:docGrid w:linePitch="360"/>
        </w:sectPr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Вопросы для самоконтроля</w:t>
        <w:tab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170</w:t>
      </w:r>
      <w:r>
        <w:fldChar w:fldCharType="end"/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Глава 6. Комбинированные и сочетанные радиационные поражения ... 172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189" w:val="right"/>
        </w:tabs>
        <w:bidi w:val="0"/>
        <w:spacing w:before="0" w:after="80" w:line="240" w:lineRule="auto"/>
        <w:ind w:left="0" w:right="0"/>
        <w:jc w:val="both"/>
      </w:pPr>
      <w:r>
        <w:fldChar w:fldCharType="begin"/>
        <w:instrText xml:space="preserve"> TOC \o "1-5" \h \z </w:instrText>
        <w:fldChar w:fldCharType="separate"/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Учебные вопросы</w:t>
        <w:tab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172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189" w:val="right"/>
        </w:tabs>
        <w:bidi w:val="0"/>
        <w:spacing w:before="0" w:after="80" w:line="240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Базисные знания</w:t>
        <w:tab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173</w:t>
      </w:r>
    </w:p>
    <w:p>
      <w:pPr>
        <w:pStyle w:val="Style27"/>
        <w:keepNext w:val="0"/>
        <w:keepLines w:val="0"/>
        <w:widowControl w:val="0"/>
        <w:numPr>
          <w:ilvl w:val="1"/>
          <w:numId w:val="11"/>
        </w:numPr>
        <w:shd w:val="clear" w:color="auto" w:fill="auto"/>
        <w:tabs>
          <w:tab w:pos="1130" w:val="left"/>
          <w:tab w:leader="dot" w:pos="6189" w:val="right"/>
        </w:tabs>
        <w:bidi w:val="0"/>
        <w:spacing w:before="0" w:after="80" w:line="240" w:lineRule="auto"/>
        <w:ind w:left="0" w:right="0"/>
        <w:jc w:val="both"/>
      </w:pPr>
      <w:hyperlink w:anchor="bookmark93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Комбинированные радиационные поражения</w:t>
          <w:tab/>
          <w:t>173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11"/>
        </w:numPr>
        <w:shd w:val="clear" w:color="auto" w:fill="auto"/>
        <w:tabs>
          <w:tab w:pos="1130" w:val="left"/>
          <w:tab w:leader="dot" w:pos="6189" w:val="right"/>
        </w:tabs>
        <w:bidi w:val="0"/>
        <w:spacing w:before="0" w:after="80" w:line="240" w:lineRule="auto"/>
        <w:ind w:left="0" w:right="0"/>
        <w:jc w:val="both"/>
      </w:pPr>
      <w:hyperlink w:anchor="bookmark96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Сочетанные радиационные поражения</w:t>
          <w:tab/>
          <w:t>182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11"/>
        </w:numPr>
        <w:shd w:val="clear" w:color="auto" w:fill="auto"/>
        <w:tabs>
          <w:tab w:pos="1134" w:val="left"/>
          <w:tab w:leader="dot" w:pos="6189" w:val="right"/>
        </w:tabs>
        <w:bidi w:val="0"/>
        <w:spacing w:before="0" w:after="80" w:line="240" w:lineRule="auto"/>
        <w:ind w:left="0" w:right="0"/>
        <w:jc w:val="both"/>
      </w:pPr>
      <w:hyperlink w:anchor="bookmark100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Хроническая лучевая болезнь</w:t>
          <w:tab/>
          <w:t>185</w:t>
        </w:r>
      </w:hyperlink>
    </w:p>
    <w:p>
      <w:pPr>
        <w:pStyle w:val="Style27"/>
        <w:keepNext w:val="0"/>
        <w:keepLines w:val="0"/>
        <w:widowControl w:val="0"/>
        <w:numPr>
          <w:ilvl w:val="1"/>
          <w:numId w:val="11"/>
        </w:numPr>
        <w:shd w:val="clear" w:color="auto" w:fill="auto"/>
        <w:tabs>
          <w:tab w:pos="1130" w:val="left"/>
          <w:tab w:leader="dot" w:pos="6189" w:val="right"/>
        </w:tabs>
        <w:bidi w:val="0"/>
        <w:spacing w:before="0" w:after="80" w:line="240" w:lineRule="auto"/>
        <w:ind w:left="0" w:right="0"/>
        <w:jc w:val="both"/>
      </w:pPr>
      <w:hyperlink w:anchor="bookmark104" w:tooltip="Current Document">
        <w:r>
          <w:rPr>
            <w:spacing w:val="0"/>
            <w:w w:val="100"/>
            <w:position w:val="0"/>
            <w:shd w:val="clear" w:color="auto" w:fill="auto"/>
            <w:lang w:val="ru-RU" w:eastAsia="ru-RU" w:bidi="ru-RU"/>
          </w:rPr>
          <w:t>Отдаленные последствия облучения</w:t>
          <w:tab/>
          <w:t>192</w:t>
        </w:r>
      </w:hyperlink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189" w:val="right"/>
        </w:tabs>
        <w:bidi w:val="0"/>
        <w:spacing w:before="0" w:after="80" w:line="240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Литература для самоподготовки</w:t>
        <w:tab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196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189" w:val="right"/>
        </w:tabs>
        <w:bidi w:val="0"/>
        <w:spacing w:before="0" w:after="160" w:line="240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Вопросы для самоконтроля</w:t>
        <w:tab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196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189" w:val="right"/>
        </w:tabs>
        <w:bidi w:val="0"/>
        <w:spacing w:before="0" w:after="8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Тестовые задания</w:t>
        <w:tab/>
        <w:t>198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189" w:val="right"/>
        </w:tabs>
        <w:bidi w:val="0"/>
        <w:spacing w:before="0" w:after="16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Ответы на тестовые задания</w:t>
        <w:tab/>
        <w:t>212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189" w:val="right"/>
        </w:tabs>
        <w:bidi w:val="0"/>
        <w:spacing w:before="0" w:after="8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Ситуационные задачи</w:t>
        <w:tab/>
        <w:t>213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189" w:val="right"/>
        </w:tabs>
        <w:bidi w:val="0"/>
        <w:spacing w:before="0" w:after="16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Решения ситуационных задач</w:t>
        <w:tab/>
        <w:t>217</w:t>
      </w:r>
    </w:p>
    <w:p>
      <w:pPr>
        <w:pStyle w:val="Style27"/>
        <w:keepNext w:val="0"/>
        <w:keepLines w:val="0"/>
        <w:widowControl w:val="0"/>
        <w:shd w:val="clear" w:color="auto" w:fill="auto"/>
        <w:tabs>
          <w:tab w:leader="dot" w:pos="6189" w:val="right"/>
        </w:tabs>
        <w:bidi w:val="0"/>
        <w:spacing w:before="0" w:after="80" w:line="240" w:lineRule="auto"/>
        <w:ind w:left="0" w:right="0" w:firstLine="0"/>
        <w:jc w:val="both"/>
        <w:sectPr>
          <w:footerReference w:type="default" r:id="rId8"/>
          <w:footerReference w:type="even" r:id="rId9"/>
          <w:footnotePr>
            <w:pos w:val="pageBottom"/>
            <w:numFmt w:val="decimal"/>
            <w:numRestart w:val="continuous"/>
          </w:footnotePr>
          <w:pgSz w:w="8400" w:h="11900"/>
          <w:pgMar w:top="1214" w:right="665" w:bottom="1214" w:left="1476" w:header="786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Рекомендуемая литература</w:t>
        <w:tab/>
        <w:t>225</w:t>
      </w:r>
      <w:r>
        <w:fldChar w:fldCharType="end"/>
      </w:r>
    </w:p>
    <w:p>
      <w:pPr>
        <w:pStyle w:val="Style8"/>
        <w:keepNext w:val="0"/>
        <w:keepLines w:val="0"/>
        <w:widowControl w:val="0"/>
        <w:shd w:val="clear" w:color="auto" w:fill="auto"/>
        <w:bidi w:val="0"/>
        <w:spacing w:before="0" w:after="480" w:line="276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СПИСОК ИСПОЛЬЗУЕМЫХ</w:t>
        <w:br/>
        <w:t>СОКРАЩЕНИЙ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138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АЭС — атомная электрическая станция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138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ДНК — дезоксирибонуклеиновая кислота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— коэффициент неравномерности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138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ЛПЭ — линейная передача энергии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МАГАТЭ — Международное агентство по атомной энергии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130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МКРЗ — Международная комиссия по радиологической защите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138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МЛП — местные лучевые поражения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138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НРБ — нормы радиационной безопасности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138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ОБЭ — относительная биологическая эффективность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138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ОЛБ — острая лучевая болезнь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138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ПРО — первичная реакция на облучение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138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ПЯВ — продукты ядерного взрыва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138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ПЯД — продукты ядерного деления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152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РВ — радиоактивное вещество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138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РЗМ — радиоактивно-загрязненная местность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138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РНК — рибонуклеиновая кислота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0" w:right="0" w:firstLine="7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РПН-синдром — синдром ранней преходящей недееспособности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54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СДво/зо — смертельная доза, при которой за 30 суток наблюдения</w:t>
        <w:br/>
        <w:t>погибает половина облученных биообъектов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138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СИЧ — счетчик излучений человека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138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СРП — сочетанные радиационные поражения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130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ТАКМ — трансплантация аллогенного костного мозга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146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1/2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— период полураспада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130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бИ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ол. — период биологического полувыведения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Э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фф — эффективный период полувыведения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64" w:lineRule="auto"/>
        <w:ind w:left="138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ХЛБ — хроническая лучевая болезнь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76" w:lineRule="auto"/>
        <w:ind w:left="1980" w:right="0" w:hanging="1280"/>
        <w:jc w:val="both"/>
        <w:sectPr>
          <w:footnotePr>
            <w:pos w:val="pageBottom"/>
            <w:numFmt w:val="decimal"/>
            <w:numRestart w:val="continuous"/>
          </w:footnotePr>
          <w:pgSz w:w="8400" w:h="11900"/>
          <w:pgMar w:top="2199" w:right="1272" w:bottom="1442" w:left="950" w:header="1771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ЦНС-синдром — синдром радиационного поражения центральной нервной системы</w:t>
      </w:r>
    </w:p>
    <w:p>
      <w:pPr>
        <w:pStyle w:val="Style8"/>
        <w:keepNext w:val="0"/>
        <w:keepLines w:val="0"/>
        <w:widowControl w:val="0"/>
        <w:shd w:val="clear" w:color="auto" w:fill="auto"/>
        <w:bidi w:val="0"/>
        <w:spacing w:before="0" w:after="440" w:line="252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ВВЕДЕНИЕ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Существование цивилизации на современном этапе ее развития немыслимо без использования ядерной энергии в самых различ</w:t>
        <w:softHyphen/>
        <w:t>ных областях жизнедеятельности человека — промышленности, медицине, научных исследованиях и т. д. Однако одним из нега</w:t>
        <w:softHyphen/>
        <w:t>тивных итогов этого процесса является значительное расшире</w:t>
        <w:softHyphen/>
        <w:t>ние перечня источников радиационной опасности: потенциаль</w:t>
        <w:softHyphen/>
        <w:t>ную угрозу жизни и здоровью людей в настоящее время создает не только ядерное оружие, но и объекты атомной энергетики, медицинские, научные, промышленные и другие источники ионизирующих излучений.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Широкое использование источников ионизирующих излуче</w:t>
        <w:softHyphen/>
        <w:t>ний во всех сферах человеческой деятельности приводит к уве</w:t>
        <w:softHyphen/>
        <w:t>личению вероятности возникновения разнообразных нештатных ситуаций и обусловливает возможность формирования очагов массовых санитарных потерь при случайном или преднамерен</w:t>
        <w:softHyphen/>
        <w:t>ном разрушении радиационно-опасных объектов.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4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 данным МАГАТЭ (2003), не считая аварии на Чернобыль</w:t>
        <w:softHyphen/>
        <w:t>ской АЭС, в мире произошло более 430 крупных радиационных инцидентов, в ходе которых не менее 3000 человек были значи</w:t>
        <w:softHyphen/>
        <w:t>тельно облучены, 133 из них со смертельным исходом. На терри</w:t>
        <w:softHyphen/>
        <w:t>тории бывшего СССР и России за время существования атом</w:t>
        <w:softHyphen/>
        <w:t>ной энергетики произошло 349 радиационных инцидентов с об</w:t>
        <w:softHyphen/>
        <w:t>лучением людей, при этом 753 пострадавших имели клинически значимые острые радиационные поражения, у 349 человек была диагностирована острая лучевая болезнь, а 71 погиб в результате радиационного воздействия в ближайшие сроки после облуче</w:t>
        <w:softHyphen/>
        <w:t>ния. Только за последнее десятилетие на территории Россий</w:t>
        <w:softHyphen/>
        <w:t>ской Федерации произошло 36 аварийных ситуаций, связанных с источниками ионизирующих излучений, с вовлечением в них более 80 человек, 48 из которых получили острые лучевые и ком</w:t>
        <w:softHyphen/>
        <w:t>бинированные поражения. Следует также отметить, что, несмот</w:t>
        <w:softHyphen/>
        <w:t>ря на международные соглашения, сохраняется возможность применения ядерного оружия в современных войнах и локаль-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28" w:lineRule="auto"/>
        <w:ind w:left="0" w:right="0" w:firstLine="0"/>
        <w:jc w:val="both"/>
        <w:sectPr>
          <w:footnotePr>
            <w:pos w:val="pageBottom"/>
            <w:numFmt w:val="decimal"/>
            <w:numRestart w:val="continuous"/>
          </w:footnotePr>
          <w:pgSz w:w="8400" w:h="11900"/>
          <w:pgMar w:top="2132" w:right="729" w:bottom="352" w:left="1387" w:header="1704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пых конфликтах, а угроза ядерного терроризма в последние годы неуклонно возрастает.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Более разнообразными стали и условия радиационного воз</w:t>
        <w:softHyphen/>
        <w:t>действия на человека, а следовательно, и формирующиеся при этом виды лучевого поражения: не только острые, но и хрониче</w:t>
        <w:softHyphen/>
        <w:t>ские формы патологии, лучевые реакции, а также стохастиче</w:t>
        <w:softHyphen/>
        <w:t>ские проявления радиационных поражений.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Высокий уровень радиационной опасности современного мира и широкий спектр формирующихся после облучения кли</w:t>
        <w:softHyphen/>
        <w:t>нических форм лучевой патологии делает абсолютно необходи</w:t>
        <w:softHyphen/>
        <w:t>мой подготовку студентов медицинских и фармацевтических ву</w:t>
        <w:softHyphen/>
        <w:t>зов в области радиобиологии и радиационной медицины.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предлагаемом читателям учебном пособии не преследова</w:t>
        <w:softHyphen/>
        <w:t>лась цель изложить все сведения, накопленные мировой и отече</w:t>
        <w:softHyphen/>
        <w:t>ственной наукой в области радиобиологии и радиационной ме</w:t>
        <w:softHyphen/>
        <w:t>дицины. Вместе с тем авторы попытались под одной обложкой объединить весь комплекс вопросов, касающихся основ радио</w:t>
        <w:softHyphen/>
        <w:t>биологии и радиационной медицины, необходимых современ</w:t>
        <w:softHyphen/>
        <w:t>ному врачу и провизору. Это, прежде всего, современные пред</w:t>
        <w:softHyphen/>
        <w:t>ставления о свойствах ионизирующих излучений и механизмах биологического действия радиации на различных уровнях орга</w:t>
        <w:softHyphen/>
        <w:t>низации живой материи. Знание основ радиобиологии, изложен</w:t>
        <w:softHyphen/>
        <w:t>ных в первых двух главах пособия, поможет студенту детально разобраться в патогенезе радиационных поражений, вызванных внешним облучением, инкорпорацией радионуклидов, местны</w:t>
        <w:softHyphen/>
        <w:t>ми, сочетанными и комбинированными радиационными воз</w:t>
        <w:softHyphen/>
        <w:t>действиями, а также представить все многообразие клинических форм лучевой патологии. Понимание патогенеза лучевых пора</w:t>
        <w:softHyphen/>
        <w:t>жений позволит, в свою очередь, обосновать подходы к профи</w:t>
        <w:softHyphen/>
        <w:t>лактике и лечению основных клинических проявлений радиаци</w:t>
        <w:softHyphen/>
        <w:t>онных поражений, а также выбрать наиболее подходящие для этих целей фармакологические препараты.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  <w:sectPr>
          <w:footnotePr>
            <w:pos w:val="pageBottom"/>
            <w:numFmt w:val="decimal"/>
            <w:numRestart w:val="continuous"/>
          </w:footnotePr>
          <w:pgSz w:w="8400" w:h="11900"/>
          <w:pgMar w:top="910" w:right="907" w:bottom="782" w:left="1205" w:header="482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Авторы не претендуют на исчерпывающее описание всех ра</w:t>
        <w:softHyphen/>
        <w:t>диобиологических проблем. Основная цель настоящего посо</w:t>
        <w:softHyphen/>
        <w:t>бия — дать студентам медицинских и фармацевтических вузов и факультетов основы радиобиологических знаний, которые могут пригодиться в их практической деятельности. Насколько это удалось, судить читателям, а авторы с благодарностью примут нее замечания и пожелания по изложенному в настоящем учеб</w:t>
        <w:softHyphen/>
        <w:t>ном пособии материалу.</w:t>
      </w:r>
    </w:p>
    <w:p>
      <w:pPr>
        <w:pStyle w:val="Style36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  <w:shd w:val="clear" w:color="auto" w:fill="auto"/>
          <w:lang w:val="ru-RU" w:eastAsia="ru-RU" w:bidi="ru-RU"/>
        </w:rPr>
        <w:t>Глава 1</w:t>
      </w:r>
    </w:p>
    <w:p>
      <w:pPr>
        <w:pStyle w:val="Style39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center"/>
      </w:pPr>
      <w:bookmarkStart w:id="1" w:name="bookmark1"/>
      <w:bookmarkStart w:id="2" w:name="bookmark2"/>
      <w:r>
        <w:rPr>
          <w:spacing w:val="0"/>
          <w:w w:val="100"/>
          <w:position w:val="0"/>
          <w:sz w:val="24"/>
          <w:szCs w:val="24"/>
          <w:shd w:val="clear" w:color="auto" w:fill="auto"/>
          <w:lang w:val="ru-RU" w:eastAsia="ru-RU" w:bidi="ru-RU"/>
        </w:rPr>
        <w:t>ВВЕДЕНИЕ В РАДИОБИОЛОГИЮ</w:t>
      </w:r>
      <w:bookmarkEnd w:id="2"/>
      <w:bookmarkEnd w:id="1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26" w:lineRule="auto"/>
        <w:ind w:left="0" w:right="0" w:firstLine="0"/>
        <w:jc w:val="both"/>
      </w:pPr>
      <w:bookmarkStart w:id="4" w:name="bookmark4"/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Учебные вопросы</w:t>
      </w:r>
      <w:bookmarkEnd w:id="4"/>
    </w:p>
    <w:p>
      <w:pPr>
        <w:pStyle w:val="Style34"/>
        <w:keepNext w:val="0"/>
        <w:keepLines w:val="0"/>
        <w:widowControl w:val="0"/>
        <w:numPr>
          <w:ilvl w:val="0"/>
          <w:numId w:val="13"/>
        </w:numPr>
        <w:shd w:val="clear" w:color="auto" w:fill="auto"/>
        <w:tabs>
          <w:tab w:pos="313" w:val="left"/>
        </w:tabs>
        <w:bidi w:val="0"/>
        <w:spacing w:before="0" w:after="0" w:line="223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Предмет радиобиологии. Цели и задачи радиобиологии как науки и учебной дисциплины.</w:t>
      </w:r>
    </w:p>
    <w:p>
      <w:pPr>
        <w:pStyle w:val="Style34"/>
        <w:keepNext w:val="0"/>
        <w:keepLines w:val="0"/>
        <w:widowControl w:val="0"/>
        <w:numPr>
          <w:ilvl w:val="0"/>
          <w:numId w:val="13"/>
        </w:numPr>
        <w:shd w:val="clear" w:color="auto" w:fill="auto"/>
        <w:tabs>
          <w:tab w:pos="332" w:val="left"/>
        </w:tabs>
        <w:bidi w:val="0"/>
        <w:spacing w:before="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Структура радиобиологии как науки и направления практиче</w:t>
        <w:softHyphen/>
        <w:t>ской деятельности. Основные разделы радиобиологии как учебной дисциплины.</w:t>
      </w:r>
    </w:p>
    <w:p>
      <w:pPr>
        <w:pStyle w:val="Style34"/>
        <w:keepNext w:val="0"/>
        <w:keepLines w:val="0"/>
        <w:widowControl w:val="0"/>
        <w:numPr>
          <w:ilvl w:val="0"/>
          <w:numId w:val="13"/>
        </w:numPr>
        <w:shd w:val="clear" w:color="auto" w:fill="auto"/>
        <w:tabs>
          <w:tab w:pos="332" w:val="left"/>
        </w:tabs>
        <w:bidi w:val="0"/>
        <w:spacing w:before="0" w:after="0" w:line="226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Виды ионизирующих излучений и их свойства.</w:t>
      </w:r>
    </w:p>
    <w:p>
      <w:pPr>
        <w:pStyle w:val="Style34"/>
        <w:keepNext w:val="0"/>
        <w:keepLines w:val="0"/>
        <w:widowControl w:val="0"/>
        <w:numPr>
          <w:ilvl w:val="0"/>
          <w:numId w:val="13"/>
        </w:numPr>
        <w:shd w:val="clear" w:color="auto" w:fill="auto"/>
        <w:tabs>
          <w:tab w:pos="337" w:val="left"/>
        </w:tabs>
        <w:bidi w:val="0"/>
        <w:spacing w:before="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Количественная оценка ионизирующих излучений. Основы дозиметрии и радиометрии.</w:t>
      </w:r>
    </w:p>
    <w:p>
      <w:pPr>
        <w:pStyle w:val="Style34"/>
        <w:keepNext w:val="0"/>
        <w:keepLines w:val="0"/>
        <w:widowControl w:val="0"/>
        <w:numPr>
          <w:ilvl w:val="0"/>
          <w:numId w:val="13"/>
        </w:numPr>
        <w:shd w:val="clear" w:color="auto" w:fill="auto"/>
        <w:tabs>
          <w:tab w:pos="332" w:val="left"/>
        </w:tabs>
        <w:bidi w:val="0"/>
        <w:spacing w:before="0" w:after="160" w:line="223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Источники ионизирующих излучений и радионуклидов в при</w:t>
        <w:softHyphen/>
        <w:t>роде и в обществе.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26" w:lineRule="auto"/>
        <w:ind w:left="0" w:right="0" w:firstLine="0"/>
        <w:jc w:val="both"/>
      </w:pPr>
      <w:bookmarkStart w:id="5" w:name="bookmark5"/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Базисные знания</w:t>
      </w:r>
      <w:bookmarkEnd w:id="5"/>
    </w:p>
    <w:p>
      <w:pPr>
        <w:pStyle w:val="Style34"/>
        <w:keepNext w:val="0"/>
        <w:keepLines w:val="0"/>
        <w:widowControl w:val="0"/>
        <w:numPr>
          <w:ilvl w:val="0"/>
          <w:numId w:val="15"/>
        </w:numPr>
        <w:shd w:val="clear" w:color="auto" w:fill="auto"/>
        <w:tabs>
          <w:tab w:pos="317" w:val="left"/>
        </w:tabs>
        <w:bidi w:val="0"/>
        <w:spacing w:before="0" w:after="0" w:line="226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Строение и основные характеристики атома.</w:t>
      </w:r>
    </w:p>
    <w:p>
      <w:pPr>
        <w:pStyle w:val="Style34"/>
        <w:keepNext w:val="0"/>
        <w:keepLines w:val="0"/>
        <w:widowControl w:val="0"/>
        <w:numPr>
          <w:ilvl w:val="0"/>
          <w:numId w:val="15"/>
        </w:numPr>
        <w:shd w:val="clear" w:color="auto" w:fill="auto"/>
        <w:tabs>
          <w:tab w:pos="332" w:val="left"/>
        </w:tabs>
        <w:bidi w:val="0"/>
        <w:spacing w:before="0" w:after="0" w:line="226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Ядерные взаимодействия.</w:t>
      </w:r>
    </w:p>
    <w:p>
      <w:pPr>
        <w:pStyle w:val="Style34"/>
        <w:keepNext w:val="0"/>
        <w:keepLines w:val="0"/>
        <w:widowControl w:val="0"/>
        <w:numPr>
          <w:ilvl w:val="0"/>
          <w:numId w:val="15"/>
        </w:numPr>
        <w:shd w:val="clear" w:color="auto" w:fill="auto"/>
        <w:tabs>
          <w:tab w:pos="332" w:val="left"/>
        </w:tabs>
        <w:bidi w:val="0"/>
        <w:spacing w:before="0" w:after="520" w:line="223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Основные свойства и характеристики ионизирующих излуче</w:t>
        <w:softHyphen/>
        <w:t>ний.</w:t>
      </w:r>
    </w:p>
    <w:p>
      <w:pPr>
        <w:pStyle w:val="Style44"/>
        <w:keepNext/>
        <w:keepLines/>
        <w:widowControl w:val="0"/>
        <w:numPr>
          <w:ilvl w:val="1"/>
          <w:numId w:val="17"/>
        </w:numPr>
        <w:shd w:val="clear" w:color="auto" w:fill="auto"/>
        <w:tabs>
          <w:tab w:pos="466" w:val="left"/>
        </w:tabs>
        <w:bidi w:val="0"/>
        <w:spacing w:before="0" w:after="0" w:line="228" w:lineRule="auto"/>
        <w:ind w:left="0" w:right="0" w:firstLine="0"/>
        <w:jc w:val="center"/>
      </w:pPr>
      <w:bookmarkStart w:id="6" w:name="bookmark6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РАДИОБИОЛОГИЯ:</w:t>
      </w:r>
      <w:bookmarkEnd w:id="6"/>
    </w:p>
    <w:p>
      <w:pPr>
        <w:pStyle w:val="Style44"/>
        <w:keepNext/>
        <w:keepLines/>
        <w:widowControl w:val="0"/>
        <w:shd w:val="clear" w:color="auto" w:fill="auto"/>
        <w:bidi w:val="0"/>
        <w:spacing w:before="0" w:after="260" w:line="228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ПРЕДМЕТ, ЦЕЛЬ И ЗАДАЧИ УЧЕБНОЙ ДИСЦИПЛИНЫ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6" w:lineRule="auto"/>
        <w:ind w:left="0" w:right="0" w:firstLine="0"/>
        <w:jc w:val="both"/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Радиобиология —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наука, изучающая механизмы взаимодействия излучений с биологическими объектами и их проявления на всех уровнях организации живого — от молекулярного до организ</w:t>
        <w:softHyphen/>
        <w:t>менного, а часто и популяционного.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Предметом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радиобиологии являются многообразные прояв</w:t>
        <w:softHyphen/>
        <w:t>ления действия излучений, механизмы возникновения этих про</w:t>
        <w:softHyphen/>
        <w:t>явлений, влияние на развитие конкретных биологических эф</w:t>
        <w:softHyphen/>
        <w:t>фектов условий воздействия радиации.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  <w:sectPr>
          <w:footerReference w:type="default" r:id="rId10"/>
          <w:footerReference w:type="even" r:id="rId11"/>
          <w:footnotePr>
            <w:pos w:val="pageBottom"/>
            <w:numFmt w:val="decimal"/>
            <w:numRestart w:val="continuous"/>
          </w:footnotePr>
          <w:pgSz w:w="8400" w:h="11900"/>
          <w:pgMar w:top="934" w:right="718" w:bottom="830" w:left="1414" w:header="506" w:footer="3" w:gutter="0"/>
          <w:cols w:space="720"/>
          <w:noEndnote/>
          <w:rtlGutter w:val="0"/>
          <w:docGrid w:linePitch="360"/>
        </w:sectPr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Целью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радиобиологии как науки является вскрытие законо</w:t>
        <w:softHyphen/>
        <w:t>мерностей ответа биологических систем на воздействие излуче</w:t>
        <w:softHyphen/>
        <w:t>ний, что является научной основой гигиенической регламента-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ции радиационного фактора, профилактики и лечения радиаци</w:t>
        <w:softHyphen/>
        <w:t>онных поражений, а также использования излучений в различных видах человеческой деятельности, в том числе и медицине.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Достижение этой цели позволяет решать многие прикладные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шдачи,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важнейшими из которых являются:</w:t>
      </w:r>
    </w:p>
    <w:p>
      <w:pPr>
        <w:pStyle w:val="Style34"/>
        <w:keepNext w:val="0"/>
        <w:keepLines w:val="0"/>
        <w:widowControl w:val="0"/>
        <w:numPr>
          <w:ilvl w:val="0"/>
          <w:numId w:val="19"/>
        </w:numPr>
        <w:shd w:val="clear" w:color="auto" w:fill="auto"/>
        <w:tabs>
          <w:tab w:pos="542" w:val="left"/>
        </w:tabs>
        <w:bidi w:val="0"/>
        <w:spacing w:before="0" w:after="0" w:line="233" w:lineRule="auto"/>
        <w:ind w:left="48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прогнозирование медико-биологических и экологических последствий радиационных воздействий;</w:t>
      </w:r>
    </w:p>
    <w:p>
      <w:pPr>
        <w:pStyle w:val="Style34"/>
        <w:keepNext w:val="0"/>
        <w:keepLines w:val="0"/>
        <w:widowControl w:val="0"/>
        <w:numPr>
          <w:ilvl w:val="0"/>
          <w:numId w:val="19"/>
        </w:numPr>
        <w:shd w:val="clear" w:color="auto" w:fill="auto"/>
        <w:tabs>
          <w:tab w:pos="546" w:val="left"/>
        </w:tabs>
        <w:bidi w:val="0"/>
        <w:spacing w:before="0" w:after="0" w:line="233" w:lineRule="auto"/>
        <w:ind w:left="48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нормирование радиационных воздействий в повседневных условиях и при работе с источниками излучений;</w:t>
      </w:r>
    </w:p>
    <w:p>
      <w:pPr>
        <w:pStyle w:val="Style34"/>
        <w:keepNext w:val="0"/>
        <w:keepLines w:val="0"/>
        <w:widowControl w:val="0"/>
        <w:numPr>
          <w:ilvl w:val="0"/>
          <w:numId w:val="19"/>
        </w:numPr>
        <w:shd w:val="clear" w:color="auto" w:fill="auto"/>
        <w:tabs>
          <w:tab w:pos="546" w:val="left"/>
        </w:tabs>
        <w:bidi w:val="0"/>
        <w:spacing w:before="0" w:after="0" w:line="228" w:lineRule="auto"/>
        <w:ind w:left="48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раннее выявление различных форм радиационных пораже</w:t>
        <w:softHyphen/>
        <w:t>ний, диагностика и прогнозирование степени их тяжести;</w:t>
      </w:r>
    </w:p>
    <w:p>
      <w:pPr>
        <w:pStyle w:val="Style34"/>
        <w:keepNext w:val="0"/>
        <w:keepLines w:val="0"/>
        <w:widowControl w:val="0"/>
        <w:numPr>
          <w:ilvl w:val="0"/>
          <w:numId w:val="19"/>
        </w:numPr>
        <w:shd w:val="clear" w:color="auto" w:fill="auto"/>
        <w:tabs>
          <w:tab w:pos="546" w:val="left"/>
        </w:tabs>
        <w:bidi w:val="0"/>
        <w:spacing w:before="0" w:after="0" w:line="228" w:lineRule="auto"/>
        <w:ind w:left="48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разработка средств и методов профилактики и лечения ра</w:t>
        <w:softHyphen/>
        <w:t>диационных поражений;</w:t>
      </w:r>
    </w:p>
    <w:p>
      <w:pPr>
        <w:pStyle w:val="Style34"/>
        <w:keepNext w:val="0"/>
        <w:keepLines w:val="0"/>
        <w:widowControl w:val="0"/>
        <w:numPr>
          <w:ilvl w:val="0"/>
          <w:numId w:val="19"/>
        </w:numPr>
        <w:shd w:val="clear" w:color="auto" w:fill="auto"/>
        <w:tabs>
          <w:tab w:pos="542" w:val="left"/>
        </w:tabs>
        <w:bidi w:val="0"/>
        <w:spacing w:before="0" w:after="0" w:line="228" w:lineRule="auto"/>
        <w:ind w:left="48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организация и проведение медицинских и защитных меро</w:t>
        <w:softHyphen/>
        <w:t>приятий в очагах радиационных поражений;</w:t>
      </w:r>
    </w:p>
    <w:p>
      <w:pPr>
        <w:pStyle w:val="Style34"/>
        <w:keepNext w:val="0"/>
        <w:keepLines w:val="0"/>
        <w:widowControl w:val="0"/>
        <w:numPr>
          <w:ilvl w:val="0"/>
          <w:numId w:val="19"/>
        </w:numPr>
        <w:shd w:val="clear" w:color="auto" w:fill="auto"/>
        <w:tabs>
          <w:tab w:pos="542" w:val="left"/>
        </w:tabs>
        <w:bidi w:val="0"/>
        <w:spacing w:before="0" w:after="0" w:line="228" w:lineRule="auto"/>
        <w:ind w:left="48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научное обоснование методов и способов проведения ради</w:t>
        <w:softHyphen/>
        <w:t>ационной стерилизации различных материалов, в том чис</w:t>
        <w:softHyphen/>
        <w:t>ле и лекарственных препаратов;</w:t>
      </w:r>
    </w:p>
    <w:p>
      <w:pPr>
        <w:pStyle w:val="Style34"/>
        <w:keepNext w:val="0"/>
        <w:keepLines w:val="0"/>
        <w:widowControl w:val="0"/>
        <w:numPr>
          <w:ilvl w:val="0"/>
          <w:numId w:val="19"/>
        </w:numPr>
        <w:shd w:val="clear" w:color="auto" w:fill="auto"/>
        <w:tabs>
          <w:tab w:pos="542" w:val="left"/>
        </w:tabs>
        <w:bidi w:val="0"/>
        <w:spacing w:before="0" w:after="0" w:line="223" w:lineRule="auto"/>
        <w:ind w:left="48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разработка наиболее рациональных режимов лучевой диа</w:t>
        <w:softHyphen/>
        <w:t>гностики и лучевой терапии различных заболеваний и др.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решения этих задач радиобиологии потребовалось со</w:t>
        <w:softHyphen/>
        <w:t>здать собственные методы исследования, важнейшим из кото</w:t>
        <w:softHyphen/>
        <w:t>рых является экспериментальный метод: ни одно утверждение в радиобиологии не может быть принято, если оно не подтвержде</w:t>
        <w:softHyphen/>
        <w:t>но в эксперименте.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Наличие предмета, цели, задач и методов исследования определяет радиобиологию как самостоятельную научную и учебную дисциплину, имеющую тесные взаимосвязи со многи</w:t>
        <w:softHyphen/>
        <w:t>ми теоретическими и прикладными областями человеческих знаний (рис. 1).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320"/>
        <w:jc w:val="both"/>
        <w:sectPr>
          <w:footerReference w:type="default" r:id="rId12"/>
          <w:footerReference w:type="even" r:id="rId13"/>
          <w:footnotePr>
            <w:pos w:val="pageBottom"/>
            <w:numFmt w:val="decimal"/>
            <w:numRestart w:val="continuous"/>
          </w:footnotePr>
          <w:pgSz w:w="8400" w:h="11900"/>
          <w:pgMar w:top="899" w:right="905" w:bottom="802" w:left="122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 и любая другая учебная дисциплина, радиобиология имеет общие и частные разделы. К общим разделам, имеющим отношение к любым теоретическим и прикладным аспектам этой науки, относятся вопросы, связанные с классификацией и свойствами излучений, механизмами их биологического дейст</w:t>
        <w:softHyphen/>
        <w:t>вия, реакциями клеток на радиационное воздействие, радиочув</w:t>
        <w:softHyphen/>
        <w:t>ствительностью и радиопоражаемостью различных тканей, с ха</w:t>
        <w:softHyphen/>
        <w:t>рактеристикой различных радиобиологических эффектов. Част</w:t>
        <w:softHyphen/>
        <w:t>ные разделы касаются патогенеза и клиники различных форм радиационных поражений, средств и методов их профилактики</w:t>
      </w:r>
    </w:p>
    <w:p>
      <w:pPr>
        <w:pStyle w:val="Style48"/>
        <w:keepNext w:val="0"/>
        <w:keepLines w:val="0"/>
        <w:framePr w:w="4944" w:h="403" w:wrap="none" w:hAnchor="page" w:x="1990" w:y="3769"/>
        <w:widowControl w:val="0"/>
        <w:shd w:val="clear" w:color="auto" w:fill="auto"/>
        <w:bidi w:val="0"/>
        <w:spacing w:before="0" w:after="0" w:line="266" w:lineRule="auto"/>
        <w:ind w:left="0" w:right="0" w:firstLine="0"/>
        <w:jc w:val="center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Рис. 1.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Взаимосвязи радиобиологии с естественно-научными и медицинскими дисциплинами</w:t>
      </w:r>
    </w:p>
    <w:p>
      <w:pPr>
        <w:pStyle w:val="Style8"/>
        <w:keepNext w:val="0"/>
        <w:keepLines w:val="0"/>
        <w:framePr w:w="4315" w:h="298" w:wrap="none" w:hAnchor="page" w:x="2317" w:y="6563"/>
        <w:widowControl w:val="0"/>
        <w:pBdr>
          <w:top w:val="single" w:sz="4" w:space="0" w:color="auto"/>
        </w:pBdr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>Общая (фундаментальная) радиобиология</w:t>
      </w:r>
    </w:p>
    <w:p>
      <w:pPr>
        <w:pStyle w:val="Style48"/>
        <w:keepNext w:val="0"/>
        <w:keepLines w:val="0"/>
        <w:framePr w:w="3710" w:h="211" w:wrap="none" w:hAnchor="page" w:x="2605" w:y="9774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Рис. 2.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Направления радиобиологии как науки</w:t>
      </w:r>
    </w:p>
    <w:p>
      <w:pPr>
        <w:widowControl w:val="0"/>
        <w:spacing w:line="360" w:lineRule="exact"/>
      </w:pPr>
      <w:r>
        <w:drawing>
          <wp:anchor distT="0" distB="353695" distL="0" distR="0" simplePos="0" relativeHeight="62914704" behindDoc="1" locked="0" layoutInCell="1" allowOverlap="1">
            <wp:simplePos x="0" y="0"/>
            <wp:positionH relativeFrom="page">
              <wp:posOffset>854710</wp:posOffset>
            </wp:positionH>
            <wp:positionV relativeFrom="margin">
              <wp:posOffset>0</wp:posOffset>
            </wp:positionV>
            <wp:extent cx="3962400" cy="2298065"/>
            <wp:wrapNone/>
            <wp:docPr id="17" name="Shape 1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box 18"/>
                    <pic:cNvPicPr/>
                  </pic:nvPicPr>
                  <pic:blipFill>
                    <a:blip r:embed="rId14"/>
                    <a:stretch/>
                  </pic:blipFill>
                  <pic:spPr>
                    <a:xfrm>
                      <a:ext cx="3962400" cy="229806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4705" behindDoc="1" locked="0" layoutInCell="1" allowOverlap="1">
            <wp:simplePos x="0" y="0"/>
            <wp:positionH relativeFrom="page">
              <wp:posOffset>861060</wp:posOffset>
            </wp:positionH>
            <wp:positionV relativeFrom="margin">
              <wp:posOffset>2828290</wp:posOffset>
            </wp:positionV>
            <wp:extent cx="3950335" cy="1316990"/>
            <wp:wrapNone/>
            <wp:docPr id="19" name="Shape 1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box 20"/>
                    <pic:cNvPicPr/>
                  </pic:nvPicPr>
                  <pic:blipFill>
                    <a:blip r:embed="rId16"/>
                    <a:stretch/>
                  </pic:blipFill>
                  <pic:spPr>
                    <a:xfrm>
                      <a:ext cx="3950335" cy="131699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225425" distL="0" distR="0" simplePos="0" relativeHeight="62914706" behindDoc="1" locked="0" layoutInCell="1" allowOverlap="1">
            <wp:simplePos x="0" y="0"/>
            <wp:positionH relativeFrom="page">
              <wp:posOffset>861060</wp:posOffset>
            </wp:positionH>
            <wp:positionV relativeFrom="margin">
              <wp:posOffset>4544695</wp:posOffset>
            </wp:positionV>
            <wp:extent cx="3950335" cy="1572895"/>
            <wp:wrapNone/>
            <wp:docPr id="21" name="Shape 2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box 22"/>
                    <pic:cNvPicPr/>
                  </pic:nvPicPr>
                  <pic:blipFill>
                    <a:blip r:embed="rId18"/>
                    <a:stretch/>
                  </pic:blipFill>
                  <pic:spPr>
                    <a:xfrm>
                      <a:ext cx="3950335" cy="157289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623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pgSz w:w="8400" w:h="11900"/>
          <w:pgMar w:top="935" w:right="818" w:bottom="611" w:left="1346" w:header="0" w:footer="3" w:gutter="0"/>
          <w:cols w:space="720"/>
          <w:noEndnote/>
          <w:rtlGutter w:val="0"/>
          <w:docGrid w:linePitch="360"/>
        </w:sectPr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 лечения, проблем регламентации радиационных воздействий, применения излучений при диагностике и терапии заболеваний, способов радиационной стерилизации медицинского имущества и пр.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 другой стороны, радиобиология как наука имеет различ</w:t>
        <w:softHyphen/>
        <w:t>ные направления, некоторые из них представлены на рис. 2.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Таковы предмет и структура современной радиобиологии — науки, возникшей чуть более века назад, в 1895 году, благодаря открытию Вильгельма Конрада Рентгена. Его статья под назва</w:t>
        <w:softHyphen/>
        <w:t>нием «О новом типе лучей» была опубликована 28 декабря 1895 года в журнале Вюрцбургского физико-медицинского общества. Рентген занимался открытыми им Х-лучами немногим более года (с 8 ноября 1895 года по март 1897 года) и опубликовал о них три статьи, в которых было исчерпывающее описание ново</w:t>
        <w:softHyphen/>
        <w:t>го вида излучений. Впоследствии сотни работ его последовате</w:t>
        <w:softHyphen/>
        <w:t>лей не смогли ничего ни прибавить, ни изменить существенно. Рентген, потерявший интерес к Х-лучам, говорил своим колле</w:t>
        <w:softHyphen/>
        <w:t>гам: «Я уже все написал, не тратьте зря время». За открытие Х-лучей Рентгену в 1901 году была присуждена первая Нобелев</w:t>
        <w:softHyphen/>
        <w:t>ская премия по физике, причем нобелевский комитет подчерки</w:t>
        <w:softHyphen/>
        <w:t>вал практическую важность его открытия. В 1896 году в России по инициативе ученика В. К. Рентгена — Абрама Федоровича Иоффе впервые было употреблено название «рентгеновские лучи», в других странах до настоящего времени используется предпочитаемое Рентгеном название — Х-лучи.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320"/>
        <w:jc w:val="both"/>
        <w:sectPr>
          <w:footnotePr>
            <w:pos w:val="pageBottom"/>
            <w:numFmt w:val="decimal"/>
            <w:numRestart w:val="continuous"/>
          </w:footnotePr>
          <w:pgSz w:w="8400" w:h="11900"/>
          <w:pgMar w:top="998" w:right="1020" w:bottom="685" w:left="111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Еще одно фундаментальное открытие в области радиобиоло</w:t>
        <w:softHyphen/>
        <w:t>гии было совершено в 1896 году французским физиком Антуа</w:t>
        <w:softHyphen/>
        <w:t>ном Анри Беккерелем, который занимался изучением фосфо</w:t>
        <w:softHyphen/>
        <w:t>ресцирующих веществ. Среди различных материалов, с которы</w:t>
        <w:softHyphen/>
        <w:t>ми он работал, был минерал, содержащий тяжелый металл уран. Кусочек этого минерала лежал в течение нескольких дней в тем</w:t>
        <w:softHyphen/>
        <w:t>ной комнате на фотопластинке, завернутой в черную бумагу. Беккерель проявил эту пластинку и обнаружил засвеченное пят</w:t>
        <w:softHyphen/>
        <w:t>но именно в том месте, где лежал минерал, причем пятно имело очертания минерала. Другими словами, вещество само себя сфо</w:t>
        <w:softHyphen/>
        <w:t>тографировало. Дальнейшие изучения показали, что уран испу</w:t>
        <w:softHyphen/>
        <w:t>скает излучение, гораздо более проникающее, чем рентгенов</w:t>
        <w:softHyphen/>
        <w:t>ское. Оно вызывало флуоресценцию соответствующих веществ, ионизировало воздух и другие газы и разряжало заряженный электроскоп. Такие минералы были названы радиоактивными.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Дальнейшие исследования в этой области продолжила Ма</w:t>
        <w:softHyphen/>
        <w:t>рия Склодовская-Кюри и ее муж Пьер Кюри. Они установили, что урановая смоляная обманка — минерал, находимый в Боге</w:t>
        <w:softHyphen/>
        <w:t>мии, вызывает почернение фотопластинки более сильное, чем уран в чистом виде. Они сделали вывод о наличие в этом мине</w:t>
        <w:softHyphen/>
        <w:t>рале еще и других радиоактивных веществ. В течение трех лет они проводили работы с этим минералом и выделили из него лишь ничтожное количество радиоактивного вещества. В ходе этих работ они открыли два новых элемента — полоний (в июле 1898 года) и радий (в декабре 1898 года), которые обладали го</w:t>
        <w:softHyphen/>
        <w:t>раздо более высоким уровнем радиоактивности, чем уран.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Пропуская излучения радиоактивных веществ через электро</w:t>
        <w:softHyphen/>
        <w:t>магнитное поле, уже в 1897 году Эрнест Резерфорд обнаружил, что при этом выделяется два потока частиц, которые были им названы по первым буквам греческого алфавита: а и ₽. Он же показал, что а-частицы — это ядра атома гелия без двух электро</w:t>
        <w:softHyphen/>
        <w:t>нов, вследствие чего заряжены положительно, и предположил, что р-частицы — очень быстрые электроны, что в последующем было доказано Дж. Томсоном. Третий поток, названный у-луча- ми, представлял собой высокоэнергетическое электромагнитное поле. В 1903 году Эрнест Резерфорд и Фредерик Содди выясни</w:t>
        <w:softHyphen/>
        <w:t>ли, что испускание а-частиц сопровождается превращением хи</w:t>
        <w:softHyphen/>
        <w:t>мических элементов, например радия в радон. В 1913 году Ф. Содди и К. Фаянс, независимо друг от друга, сформулирова</w:t>
        <w:softHyphen/>
        <w:t>ли правило смещения, характеризующее перемещение изотопа в Периодической системе элементов при различных радиоактив</w:t>
        <w:softHyphen/>
        <w:t>ных превращениях.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Исследования Марии Склодовской-Кюри — первой женщи</w:t>
        <w:softHyphen/>
        <w:t>ны, получившей за свои открытия две Нобелевские премии (по физике и по химии), — продолжила ее дочь Ирен Кюри, которая со своим мужем Фредериком Жолио-Кюри открыла явление ис</w:t>
        <w:softHyphen/>
        <w:t>кусственной радиоактивности.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  <w:sectPr>
          <w:footerReference w:type="default" r:id="rId20"/>
          <w:footerReference w:type="even" r:id="rId21"/>
          <w:footnotePr>
            <w:pos w:val="pageBottom"/>
            <w:numFmt w:val="decimal"/>
            <w:numRestart w:val="continuous"/>
          </w:footnotePr>
          <w:pgSz w:w="8400" w:h="11900"/>
          <w:pgMar w:top="932" w:right="618" w:bottom="803" w:left="151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Открытие радиоактивности оказало огромное влияние на развитие науки и техники. Обнаружение способности химиче</w:t>
        <w:softHyphen/>
        <w:t>ских элементов к самопроизвольным превращениям открыло новые перспективы развития энергетики, промышленности, ме</w:t>
        <w:softHyphen/>
        <w:t>дицины и других областей человеческой деятельности. Именно по этой причине за работы, связанные с исследованием радио</w:t>
        <w:softHyphen/>
        <w:t>активности, было присуждено более десяти Нобелевских премий по физике и химии, в том числе А. Беккерелю, П. и М. Кюри,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Э. Ферми, Э. Резерфорду, Ф. и И. Жолио-Кюри, Д. Хевеши, О. Гану, Э. Макмилану и Г. Сиборгу, У. Либби и др.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Значительный интерес открытия в области радиобиологии вызвали и у российских ученых.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Так, уже в январе 1896 года профессор кафедры физики Во</w:t>
        <w:softHyphen/>
        <w:t>енно-медицинской академии Николай Григорьевич Егоров вос</w:t>
        <w:softHyphen/>
        <w:t>произвел в главных чертах все опыты В. К. Рентгена, а несколько позже А. Н. Георгиевский повторил опыты А. Беккереля по изу</w:t>
        <w:softHyphen/>
        <w:t>чению радиоактивных свойств солей урана. Еще через три меся</w:t>
        <w:softHyphen/>
        <w:t>ца, 11 марта 1896 года, недавний выпускник Военно-медицин</w:t>
        <w:softHyphen/>
        <w:t>ской академии, а впоследствии академик АМН СССР, Владимир Николаевич Тонков выступил на заседании Антропологического общества с докладом «О применении Х-лучей Рентгена к изуче</w:t>
        <w:softHyphen/>
        <w:t>нию роста скелета» и продемонстрировал рентгенограммы, по</w:t>
        <w:softHyphen/>
        <w:t>казывающие ход окостенения у детей с первых дней жизни. За</w:t>
        <w:softHyphen/>
        <w:t>тем, через два месяца, 21 мая 1896 года на заседании Российско</w:t>
        <w:softHyphen/>
        <w:t>го физико-химического общества Н. Г. Егоров и А. Л. Гершун продемонстрировали рентгеновские снимки, полученные с по</w:t>
        <w:softHyphen/>
        <w:t>мощью солей урана. А уже в начале 1897 года при клиническом госпитале Военно-медицинской академии был организован пер</w:t>
        <w:softHyphen/>
        <w:t>вый в России рентгеновский кабинет. С 1916 года профессор ка</w:t>
        <w:softHyphen/>
        <w:t>федры физики Николай Алексеевич Орлов начал читать цикл рентгенологии, который в 1923 году стал самостоятельным кур</w:t>
        <w:softHyphen/>
        <w:t>сом. В 1918 году в Петербурге открыт Государственный институт рентгенологии и радиологии, организатором и директором его был профессор Михаил Исаевич Неменов, который впоследст</w:t>
        <w:softHyphen/>
        <w:t>вии, в 1929 году, в Военно-медицинской академии создал и воз</w:t>
        <w:softHyphen/>
        <w:t>главил первую в России кафедру клинической рентгенологии.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320"/>
        <w:jc w:val="both"/>
        <w:sectPr>
          <w:footnotePr>
            <w:pos w:val="pageBottom"/>
            <w:numFmt w:val="decimal"/>
            <w:numRestart w:val="continuous"/>
          </w:footnotePr>
          <w:pgSz w:w="8400" w:h="11900"/>
          <w:pgMar w:top="928" w:right="775" w:bottom="779" w:left="134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Следует отметить, что пионеров радиобиологии в России ин</w:t>
        <w:softHyphen/>
        <w:t>тересовали не только вопросы диагностического применения ионизирующих излучений, но и изучение их биологических свойств. Уже через 4 месяца после открытия рентгеновских лу</w:t>
        <w:softHyphen/>
        <w:t>чей профессор Иван Романович Тарханов в выпуске «Известий Санкт-Петербургской биологической лаборатории Академии наук» опубликовал сообщение о действии этих лучей на цент</w:t>
        <w:softHyphen/>
        <w:t>ральную нервную систему и развитие животных. В результате выполненных исследований И. Р. Тарханов сделал чрезвычайно важный вывод о том, что «...Х-лучи могут служить не только для фотографирования и для диагноза, как думали до сих пор, но и для воздействия на организм. И мы не удивимся, если в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недалеком будущем лучами этими будут пользоваться с лечебной целью».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1903 году профессор Ефим Семенович Лондон впервые по</w:t>
        <w:softHyphen/>
        <w:t>казал, что излучение радия при определенных сроках воздейст</w:t>
        <w:softHyphen/>
        <w:t>вия может вызывать летальный исход у мышей (аналогичные эк</w:t>
        <w:softHyphen/>
        <w:t>сперименты в Германии были выполнены Г. Хейнеке). Кроме того, Е. С. Лондон был первым исследователем, установившим, что под влиянием радиации наиболее ранние и выраженные из</w:t>
        <w:softHyphen/>
        <w:t>менения происходят в кроветворных, лимфоидных и половых органах. Эти и другие экспериментальные данные о различии в устойчивости отдельных биологических систем к летальному об</w:t>
        <w:softHyphen/>
        <w:t>лучению позволили французским ученым И. Бергонье и Л. Три- бондо в 1906 году сформулировать фундаментальный закон кле</w:t>
        <w:softHyphen/>
        <w:t>точной радиочувствительности: ионизирующее излучение тем сильнее действует на клетки, чем интенсивнее они делятся и чем менее они дифференцированы.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Еще одна впечатляющая страница в истории радиобиологии связана с советскими учеными Г. А. Надсоном и Г. С. Филиппо</w:t>
        <w:softHyphen/>
        <w:t>вым, которые в 1925 году в экспериментах на дрожжевых клетках показали, что радиация способна вызвать мутации, проявляю</w:t>
        <w:softHyphen/>
        <w:t>щиеся не только в повреждении генома, но и в образовании стойких необратимых изменений, передающихся по наследству. Несколько позднее, в 1927 году, феномен лучевого мутагенеза в экспериментах на дрозофилах был обнаружен Г. Меллером (США), который за это открытие был удостоен Нобелевской премии.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  <w:sectPr>
          <w:footnotePr>
            <w:pos w:val="pageBottom"/>
            <w:numFmt w:val="decimal"/>
            <w:numRestart w:val="continuous"/>
          </w:footnotePr>
          <w:pgSz w:w="8400" w:h="11900"/>
          <w:pgMar w:top="910" w:right="764" w:bottom="812" w:left="136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Особенно высокие темпы развития радиобиология получила в 40-е годы XX века после того, как США сбросили на Хиросиму и Нагасаки атомные бомбы. Уже в 1946 году профессор Леон Абгарович Орбели принимает решение создать в Военно-меди</w:t>
        <w:softHyphen/>
        <w:t>цинской академии научно-исследовательскую лабораторию по изучению поражающего действия ядерного оружия и разработ</w:t>
        <w:softHyphen/>
        <w:t>ке средств противорадиационной защиты, реорганизованную в 1969 году в Институт военной медицины МО СССР. Именно здесь были проведены первые работы по изучению патогенеза и клиники лучевых поражений, созданы первые отечествен</w:t>
        <w:softHyphen/>
        <w:t>ные радиопротекторы (А. В. Лебединский, А. С. Мозжухин, Ф. Ю. Рачинский, Т. К. Джаракьян, В. Г. Владимиров и др.). Еще одним центром по изучению лучевой патологии стал Ин</w:t>
        <w:softHyphen/>
        <w:t>ститут биофизики Минздрава СССР (ныне Федеральный меди</w:t>
        <w:softHyphen/>
        <w:t>цинский биофизический центр имени А. И. Бурназяна ФМБА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520" w:line="240" w:lineRule="auto"/>
        <w:ind w:left="0" w:right="0" w:firstLine="0"/>
        <w:jc w:val="both"/>
      </w:pPr>
      <w:bookmarkStart w:id="9" w:name="bookmark9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России), в котором трудились такие выдающиеся отечественные радиобиологи, как П. Д. Горизонтов, Л. А. Ильин, А. К. Гусько</w:t>
        <w:softHyphen/>
        <w:t>ва, Ю. Г. Григорьев и др. Значительный вклад в развитие радио</w:t>
        <w:softHyphen/>
        <w:t>биологии в нашей стране внесли также Н. В. Тимофеев-Ресов</w:t>
        <w:softHyphen/>
        <w:t>ский, Б. Н. Тарусов, А. М. Кузин, Р. В. Петров, Е. Ф. Романцев, Е. А. Жербин, П. П. Саксонов, В. П. Парибок, Ю. Б. Кудряшов, С. П. Ярмоненко, Р. М. Алексахин, Е. Б. Бурлакова, Г. И. Алек</w:t>
        <w:softHyphen/>
        <w:t>сеев, Н. В. Бутомо и др.</w:t>
      </w:r>
      <w:bookmarkEnd w:id="9"/>
    </w:p>
    <w:p>
      <w:pPr>
        <w:pStyle w:val="Style44"/>
        <w:keepNext/>
        <w:keepLines/>
        <w:widowControl w:val="0"/>
        <w:numPr>
          <w:ilvl w:val="1"/>
          <w:numId w:val="21"/>
        </w:numPr>
        <w:shd w:val="clear" w:color="auto" w:fill="auto"/>
        <w:tabs>
          <w:tab w:pos="773" w:val="left"/>
        </w:tabs>
        <w:bidi w:val="0"/>
        <w:spacing w:before="0" w:line="240" w:lineRule="auto"/>
        <w:ind w:left="0" w:right="0" w:firstLine="340"/>
        <w:jc w:val="both"/>
      </w:pPr>
      <w:bookmarkStart w:id="10" w:name="bookmark10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ВИДЫ ИОНИЗИРУЮЩИХ ИЗЛУЧЕНИЙ И ИХ СВОЙСТВА</w:t>
      </w:r>
      <w:bookmarkEnd w:id="10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Ионизирующие излучения —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это излучения, вызывающие при взаимодействии с веществом ионизацию и возбуждение его ато</w:t>
        <w:softHyphen/>
        <w:t>мов и молекул. Важной особенностью большинства видов иони</w:t>
        <w:softHyphen/>
        <w:t>зирующих излучений является их высокая проникающая спо</w:t>
        <w:softHyphen/>
        <w:t>собность, а отсюда способность взаимодействовать с атомами вещества в глубине объекта.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 своей физической природе все ионизирующие излучения подразделяются на электромагнитные и корпускулярные излу</w:t>
        <w:softHyphen/>
        <w:t>чения.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/>
        <w:jc w:val="both"/>
        <w:sectPr>
          <w:footerReference w:type="default" r:id="rId22"/>
          <w:footerReference w:type="even" r:id="rId23"/>
          <w:footnotePr>
            <w:pos w:val="pageBottom"/>
            <w:numFmt w:val="decimal"/>
            <w:numRestart w:val="continuous"/>
          </w:footnotePr>
          <w:pgSz w:w="8400" w:h="11900"/>
          <w:pgMar w:top="909" w:right="1123" w:bottom="773" w:left="97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К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электромагнитным излучениям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относятся рентгеновское и у-излучение, представляющие собой энергию электромагнитно</w:t>
        <w:softHyphen/>
        <w:t>го поля, которая распространяется в пространстве со скоростью света. В зависимости от источника образования электромагнит</w:t>
        <w:softHyphen/>
        <w:t>ные излучения подразделяются на тормозное, характеристиче</w:t>
        <w:softHyphen/>
        <w:t xml:space="preserve">ское и у-излучение.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Тормозное излучение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возникает при замедле</w:t>
        <w:softHyphen/>
        <w:t xml:space="preserve">нии в электрическом поле (например, окружающем атомные ядра) ускоренных заряженных частиц.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Характеристическое излу</w:t>
        <w:softHyphen/>
        <w:t>чение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обусловлено энергетическими перестройками внутренних электронных оболочек возбужденных атомов, а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у-излучение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явля</w:t>
        <w:softHyphen/>
        <w:t>ется продуктом ядерных превращений радиоактивных элемен</w:t>
        <w:softHyphen/>
        <w:t>тов (радиоизотопов). Совокупность тормозного и характеристи</w:t>
        <w:softHyphen/>
        <w:t xml:space="preserve">ческого излучений называют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рентгеновским излучением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(в англо</w:t>
        <w:softHyphen/>
        <w:t xml:space="preserve">язычной литературе чаще употребляют термин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«Х-излучение»).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земных условиях оно всегда имеет искусственное происхожде</w:t>
        <w:softHyphen/>
        <w:t>ние, в то время как у-излучение может иметь как искусственное, так и естественное происхождение. Спектры рентгеновских и у-лучей перекрываются, нет принципиальных различий между ними и по физическим свойствам.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К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корпускулярным излучениям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относятся электроны и позит</w:t>
        <w:softHyphen/>
        <w:t>роны (р-частицы), протоны (ядра водорода), дейтроны (ядра дейтерия), а-частицы (ядра гелия) и тяжелые ионы (ядра других элементов), не имеющие заряда нейтроны и отрицательно заря</w:t>
        <w:softHyphen/>
        <w:t>женные мезоны, в частности л-мезоны, имеющие значительную перспективу использования в радиационной онкологии. Отли</w:t>
        <w:softHyphen/>
        <w:t>чительной особенностью корпускулярного излучения является то, что частицы обладают большим запасом кинетической энер</w:t>
        <w:softHyphen/>
        <w:t>гии и способны с высокой скоростью перемещаться в простран</w:t>
        <w:softHyphen/>
        <w:t>стве, вызывая возбуждение и ионизацию атомов.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Более удобно подразделять ионизирующие излучения по осо</w:t>
        <w:softHyphen/>
        <w:t>бенностям их взаимодействия с веществом. В этом случае раз</w:t>
        <w:softHyphen/>
        <w:t xml:space="preserve">личают электрически нейтральные излучения (рентгеновские, у-лучи и нейтроны) и ускоренные заряженные частицы (все остальные, помимо нейтронов, разновидности корпускулярного излучения).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Ускоренные заряженные частицы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— это перемещаю</w:t>
        <w:softHyphen/>
        <w:t>щиеся в пространстве источники электрического поля (поток электронов — р-частиц, протонов, ядер атома гелия — а-частиц и др.). Естественными источниками ускоренных заряженных ча</w:t>
        <w:softHyphen/>
        <w:t>стиц являются некоторые из природных радиоизотопов. К ис</w:t>
        <w:softHyphen/>
        <w:t>кусственным источникам относятся искусственные радиоизото</w:t>
        <w:softHyphen/>
        <w:t>пы и ускорители заряженных частиц.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Ионизация и возбуждение атомов вещества являются след</w:t>
        <w:softHyphen/>
        <w:t>ствием взаимодействия ускоренной заряженной частицы с элек</w:t>
        <w:softHyphen/>
        <w:t>тронными оболочками этих атомов. Под действием электриче</w:t>
        <w:softHyphen/>
        <w:t>ского поля ускоренной заряженной частицы происходит возму</w:t>
        <w:softHyphen/>
        <w:t>щение электронных оболочек атомов с переходом в возбужден</w:t>
        <w:softHyphen/>
        <w:t>ное или ионизированное состояние. Способность ускоренных заряженных частиц непосредственно взаимодействовать с элект</w:t>
        <w:softHyphen/>
        <w:t>ронными оболочками атомов позволила определить их как пер</w:t>
        <w:softHyphen/>
        <w:t xml:space="preserve">вично или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прямо ионизирующие излучения.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Рентгеновское и у-из- лучение, как и нейтроны, относятся к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косвенно ионизирующим излучениям,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так как они возбуждают и ионизируют атомы и мо</w:t>
        <w:softHyphen/>
        <w:t>лекулы не сами, а посредством инициируемых ими ускоренных заряженных частиц (комптоновских электронов, ядер отдачи и т. п.).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  <w:sectPr>
          <w:footnotePr>
            <w:pos w:val="pageBottom"/>
            <w:numFmt w:val="decimal"/>
            <w:numRestart w:val="continuous"/>
          </w:footnotePr>
          <w:pgSz w:w="8400" w:h="11900"/>
          <w:pgMar w:top="943" w:right="658" w:bottom="806" w:left="146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Первичные изменения атомов и молекул качественно не за</w:t>
        <w:softHyphen/>
        <w:t>висят от вида действующего на них ионизирующего излучения. При одном и том же количестве энергии, поглощенной едини</w:t>
        <w:softHyphen/>
        <w:t>цей массы вещества, микропространственное распределение этой энергии в облученном объеме различно. Это различие определя-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6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ется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линейной передачей энергии (ЛПЭ) —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средним количеством энергии, передаваемой частицей веществу в среднем на единицу длины пройденного в нем пути: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 w:line="434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ЛПЭ =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dE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/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dx,</w:t>
        <w:br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где Е — энергия частицы, эВ; х — длина пробега частицы в веществе, мкм.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Поскольку по мере прохождения частицы через вещество ее энергия снижается, а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с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уменьшением энергии возрастает ЛПЭ, в конце пробега заряженной частицы создается наибольшая плот</w:t>
        <w:softHyphen/>
        <w:t>ность ионизации (пик Брэгга), иными словами — поглощается наибольшая доза. Это свойство используется в практике лучевой терапии, когда хотят воздействовать на опухоль, находящуюся на определенной глубине, наибольшей дозой при минимальном повреждении тканей, находящихся по ходу пучка перед опухо</w:t>
        <w:softHyphen/>
        <w:t>лью и за нею. Изменяя энергию заряженных частиц, можно до</w:t>
        <w:softHyphen/>
        <w:t>биться, чтобы пик Брэгга пришелся на нужную глубину.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Скоростью потери энергии определяется еще одно важное свойство ионизирующих излучений —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проникающая способность.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Глубина проникновения ионизирующих излучений зависит, с одной стороны, от состава и плотности облучаемого объекта, а с другой стороны — от природы и свойств излучения (рис. 3). Она прямо пропорциональна энергии, массе и квадрату скорости ча</w:t>
        <w:softHyphen/>
        <w:t>стицы, обратно пропорциональна — абсолютной величине заря</w:t>
        <w:softHyphen/>
        <w:t>да. Чем больше величина ЛПЭ, тем меньше проникающая спо</w:t>
        <w:softHyphen/>
        <w:t>собность излучения в данном веществе.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За меру проникающей способности для ускоренных заря</w:t>
        <w:softHyphen/>
        <w:t>женных частиц принимают расстояние, на котором частица за</w:t>
        <w:softHyphen/>
        <w:t xml:space="preserve">медляется до энергии, близкой к средней энергии теплового движения. Излучения с высокой проникающей способностью называют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жесткими.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Если же проникающая способность мала, то такое излучение называется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мягким.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Однако эти термины ве</w:t>
        <w:softHyphen/>
        <w:t>сьма относительны, так как, например, 0-излучение по сравне</w:t>
        <w:softHyphen/>
        <w:t>нию с а-частицами будет жестким, а по сравнению с у-лучами — мягким.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  <w:sectPr>
          <w:footnotePr>
            <w:pos w:val="pageBottom"/>
            <w:numFmt w:val="decimal"/>
            <w:numRestart w:val="continuous"/>
          </w:footnotePr>
          <w:pgSz w:w="7123" w:h="12331"/>
          <w:pgMar w:top="1229" w:right="288" w:bottom="914" w:left="53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зависимости от величины ЛПЭ, все ионизирующие излуче</w:t>
        <w:softHyphen/>
        <w:t xml:space="preserve">ния делят на редко- и плотноионизирующие. К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редкоионизирующим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относят все виды излучения, имеющие ЛПЭ менее 10 кэВ/мкм: 0-частицы, у- и рентгеновские лучи, ионизирующее действие которых также осуществляется электронами. К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плотноионизи- рующим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(ЛПЭ &gt; 10 кэВ/мкм) относят протоны, а-частицы и другие тяжелые частицы, а также нейтроны, биологическое</w:t>
      </w:r>
    </w:p>
    <w:p>
      <w:pPr>
        <w:pStyle w:val="Style48"/>
        <w:keepNext w:val="0"/>
        <w:keepLines w:val="0"/>
        <w:framePr w:w="2122" w:h="211" w:wrap="none" w:hAnchor="page" w:x="5425" w:y="7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Бумага Человек Металл</w:t>
      </w:r>
    </w:p>
    <w:p>
      <w:pPr>
        <w:pStyle w:val="Style48"/>
        <w:keepNext w:val="0"/>
        <w:keepLines w:val="0"/>
        <w:framePr w:w="1464" w:h="202" w:wrap="none" w:hAnchor="page" w:x="4504" w:y="283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Алюминий Свинец</w:t>
      </w:r>
    </w:p>
    <w:p>
      <w:pPr>
        <w:pStyle w:val="Style48"/>
        <w:keepNext w:val="0"/>
        <w:keepLines w:val="0"/>
        <w:framePr w:w="475" w:h="202" w:wrap="none" w:hAnchor="page" w:x="6698" w:y="283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Бетон</w:t>
      </w:r>
    </w:p>
    <w:p>
      <w:pPr>
        <w:pStyle w:val="Style48"/>
        <w:keepNext w:val="0"/>
        <w:keepLines w:val="0"/>
        <w:framePr w:w="1310" w:h="216" w:wrap="none" w:hAnchor="page" w:x="1710" w:y="3006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(Альфа-частица)</w:t>
      </w:r>
    </w:p>
    <w:p>
      <w:pPr>
        <w:pStyle w:val="Style48"/>
        <w:keepNext w:val="0"/>
        <w:keepLines w:val="0"/>
        <w:framePr w:w="1694" w:h="394" w:wrap="none" w:hAnchor="page" w:x="1710" w:y="414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(Гамма- и рентгеновские лучи)</w:t>
      </w:r>
    </w:p>
    <w:p>
      <w:pPr>
        <w:pStyle w:val="Style48"/>
        <w:keepNext w:val="0"/>
        <w:keepLines w:val="0"/>
        <w:framePr w:w="1157" w:h="494" w:wrap="none" w:hAnchor="page" w:x="1710" w:y="3414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4"/>
          <w:szCs w:val="24"/>
        </w:rPr>
      </w:pPr>
      <w:r>
        <w:rPr>
          <w:spacing w:val="0"/>
          <w:w w:val="100"/>
          <w:position w:val="0"/>
          <w:sz w:val="24"/>
          <w:szCs w:val="24"/>
          <w:shd w:val="clear" w:color="auto" w:fill="auto"/>
          <w:lang w:val="ru-RU" w:eastAsia="ru-RU" w:bidi="ru-RU"/>
        </w:rPr>
        <w:t>3</w:t>
      </w:r>
    </w:p>
    <w:p>
      <w:pPr>
        <w:pStyle w:val="Style48"/>
        <w:keepNext w:val="0"/>
        <w:keepLines w:val="0"/>
        <w:framePr w:w="1157" w:h="494" w:wrap="none" w:hAnchor="page" w:x="1710" w:y="3414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(Бета-частица)</w:t>
      </w:r>
    </w:p>
    <w:p>
      <w:pPr>
        <w:pStyle w:val="Style48"/>
        <w:keepNext w:val="0"/>
        <w:keepLines w:val="0"/>
        <w:framePr w:w="1056" w:h="883" w:wrap="none" w:hAnchor="page" w:x="6381" w:y="3208"/>
        <w:widowControl w:val="0"/>
        <w:shd w:val="clear" w:color="auto" w:fill="auto"/>
        <w:bidi w:val="0"/>
        <w:spacing w:before="0" w:after="0" w:line="266" w:lineRule="auto"/>
        <w:ind w:left="0" w:right="0" w:firstLine="0"/>
        <w:jc w:val="left"/>
        <w:rPr>
          <w:sz w:val="16"/>
          <w:szCs w:val="16"/>
        </w:rPr>
      </w:pPr>
      <w:r>
        <w:rPr>
          <w:b/>
          <w:bCs/>
          <w:spacing w:val="0"/>
          <w:w w:val="100"/>
          <w:position w:val="0"/>
          <w:sz w:val="16"/>
          <w:szCs w:val="16"/>
          <w:shd w:val="clear" w:color="auto" w:fill="auto"/>
          <w:lang w:val="ru-RU" w:eastAsia="ru-RU" w:bidi="ru-RU"/>
        </w:rPr>
        <w:t>. о ‘ •• - » &lt; о л; *«• •у» •</w:t>
      </w:r>
    </w:p>
    <w:p>
      <w:pPr>
        <w:pStyle w:val="Style48"/>
        <w:keepNext w:val="0"/>
        <w:keepLines w:val="0"/>
        <w:framePr w:w="1056" w:h="883" w:wrap="none" w:hAnchor="page" w:x="6381" w:y="3208"/>
        <w:widowControl w:val="0"/>
        <w:shd w:val="clear" w:color="auto" w:fill="auto"/>
        <w:bidi w:val="0"/>
        <w:spacing w:before="0" w:after="0" w:line="266" w:lineRule="auto"/>
        <w:ind w:left="0" w:right="0" w:firstLine="0"/>
        <w:jc w:val="left"/>
        <w:rPr>
          <w:sz w:val="16"/>
          <w:szCs w:val="16"/>
        </w:rPr>
      </w:pPr>
      <w:r>
        <w:rPr>
          <w:b/>
          <w:bCs/>
          <w:spacing w:val="0"/>
          <w:w w:val="100"/>
          <w:position w:val="0"/>
          <w:sz w:val="16"/>
          <w:szCs w:val="16"/>
          <w:shd w:val="clear" w:color="auto" w:fill="auto"/>
          <w:lang w:val="ru-RU" w:eastAsia="ru-RU" w:bidi="ru-RU"/>
        </w:rPr>
        <w:t>«• *. °</w:t>
      </w:r>
      <w:r>
        <w:rPr>
          <w:b/>
          <w:bCs/>
          <w:spacing w:val="0"/>
          <w:w w:val="100"/>
          <w:position w:val="0"/>
          <w:sz w:val="16"/>
          <w:szCs w:val="16"/>
          <w:shd w:val="clear" w:color="auto" w:fill="auto"/>
          <w:vertAlign w:val="superscript"/>
          <w:lang w:val="ru-RU" w:eastAsia="ru-RU" w:bidi="ru-RU"/>
        </w:rPr>
        <w:t>1</w:t>
      </w:r>
    </w:p>
    <w:p>
      <w:pPr>
        <w:pStyle w:val="Style48"/>
        <w:keepNext w:val="0"/>
        <w:keepLines w:val="0"/>
        <w:framePr w:w="6077" w:h="221" w:wrap="none" w:hAnchor="page" w:x="1595" w:y="572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Рис. 3.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Проникающая способность разных видов ионизирующих излучений</w:t>
      </w:r>
    </w:p>
    <w:p>
      <w:pPr>
        <w:pStyle w:val="Style15"/>
        <w:keepNext w:val="0"/>
        <w:keepLines w:val="0"/>
        <w:framePr w:w="787" w:h="206" w:wrap="none" w:hAnchor="page" w:x="1715" w:y="487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Нейтооны</w:t>
      </w:r>
    </w:p>
    <w:p>
      <w:pPr>
        <w:widowControl w:val="0"/>
        <w:spacing w:line="360" w:lineRule="exact"/>
      </w:pPr>
      <w:r>
        <w:drawing>
          <wp:anchor distT="118745" distB="0" distL="0" distR="0" simplePos="0" relativeHeight="62914715" behindDoc="1" locked="0" layoutInCell="1" allowOverlap="1">
            <wp:simplePos x="0" y="0"/>
            <wp:positionH relativeFrom="page">
              <wp:posOffset>999490</wp:posOffset>
            </wp:positionH>
            <wp:positionV relativeFrom="margin">
              <wp:posOffset>167640</wp:posOffset>
            </wp:positionV>
            <wp:extent cx="3889375" cy="1487170"/>
            <wp:wrapNone/>
            <wp:docPr id="31" name="Shape 3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box 32"/>
                    <pic:cNvPicPr/>
                  </pic:nvPicPr>
                  <pic:blipFill>
                    <a:blip r:embed="rId24"/>
                    <a:stretch/>
                  </pic:blipFill>
                  <pic:spPr>
                    <a:xfrm>
                      <a:ext cx="3889375" cy="148717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76200" distB="262255" distL="94615" distR="338455" simplePos="0" relativeHeight="62914716" behindDoc="1" locked="0" layoutInCell="1" allowOverlap="1">
            <wp:simplePos x="0" y="0"/>
            <wp:positionH relativeFrom="page">
              <wp:posOffset>1106805</wp:posOffset>
            </wp:positionH>
            <wp:positionV relativeFrom="margin">
              <wp:posOffset>1877695</wp:posOffset>
            </wp:positionV>
            <wp:extent cx="3425825" cy="1633855"/>
            <wp:wrapNone/>
            <wp:docPr id="33" name="Shape 3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box 34"/>
                    <pic:cNvPicPr/>
                  </pic:nvPicPr>
                  <pic:blipFill>
                    <a:blip r:embed="rId26"/>
                    <a:stretch/>
                  </pic:blipFill>
                  <pic:spPr>
                    <a:xfrm>
                      <a:ext cx="3425825" cy="163385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465" w:line="1" w:lineRule="exact"/>
      </w:pPr>
    </w:p>
    <w:p>
      <w:pPr>
        <w:widowControl w:val="0"/>
        <w:spacing w:line="1" w:lineRule="exact"/>
        <w:sectPr>
          <w:footerReference w:type="default" r:id="rId28"/>
          <w:footerReference w:type="even" r:id="rId29"/>
          <w:footnotePr>
            <w:pos w:val="pageBottom"/>
            <w:numFmt w:val="decimal"/>
            <w:numRestart w:val="continuous"/>
          </w:footnotePr>
          <w:pgSz w:w="8400" w:h="11900"/>
          <w:pgMar w:top="1003" w:right="629" w:bottom="597" w:left="1498" w:header="575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63" w:lineRule="exact"/>
        <w:rPr>
          <w:sz w:val="5"/>
          <w:szCs w:val="5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8400" w:h="11900"/>
          <w:pgMar w:top="1074" w:right="0" w:bottom="767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действие которых реализуется за счет вторичных ускоренных за</w:t>
        <w:softHyphen/>
        <w:t>ряженных частиц.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Редкоионизирующие виды излучений отличаются сравните</w:t>
        <w:softHyphen/>
        <w:t>льно высокой проникающей способностью, а плотноионизирую- щие (за исключением нейтронов) проникают в ткани на неболь</w:t>
        <w:softHyphen/>
        <w:t>шую глубину.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  <w:sectPr>
          <w:footnotePr>
            <w:pos w:val="pageBottom"/>
            <w:numFmt w:val="decimal"/>
            <w:numRestart w:val="continuous"/>
          </w:footnotePr>
          <w:type w:val="continuous"/>
          <w:pgSz w:w="8400" w:h="11900"/>
          <w:pgMar w:top="1074" w:right="629" w:bottom="767" w:left="149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Так, а-частицы обладают очень низкой проникающей спо</w:t>
        <w:softHyphen/>
        <w:t>собностью. Даже в воздухе их пробег равен нескольким санти</w:t>
        <w:softHyphen/>
        <w:t>метрам, а более плотные вещества (например, ткань или бумага) непроницаемы для а-частиц при толщине в доли миллиметра. Поток а-частиц, падающий на тело человека, из-за малой про</w:t>
        <w:softHyphen/>
        <w:t xml:space="preserve">никающей способности целиком поглощается в верхних слоях кожи. Вследствие этого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a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-излучение при внешнем радиацион</w:t>
        <w:softHyphen/>
        <w:t>ном воздействии совершенно безопасно для человека. Однако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если а-излучающий изотоп попадет с пищей, водой или возду</w:t>
        <w:softHyphen/>
        <w:t>хом внутрь организма, то опасность будет весьма велика, так как испускаемые изотопом внутри тканей а-частицы вызовут очень сильную ионизацию атомов и молекул, а следовательно, сильное повреждение биологических субстратов, в которых непосредст</w:t>
        <w:softHyphen/>
        <w:t>венно поглощается энергия.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Проникающая способность 0-частиц примерно в сто раз бо</w:t>
        <w:softHyphen/>
        <w:t>льше, чем а-частиц. В воздухе они проходят несколько метров, в твердых средах — несколько миллиметров. В связи с этим 0-час- тицы представляют определенную опасность для жизни и здоро</w:t>
        <w:softHyphen/>
        <w:t>вья людей не только при их попадании внутрь организма, но и при аппликации на кожные покровы и слизистые оболочки, вследствие чего могут развиться серьезные местные лучевые по</w:t>
        <w:softHyphen/>
        <w:t>ражения.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Проникающая способность рентгеновского и у-излучения очень велика. Они глубоко проникают даже в плотные среды, а тело человека «пронизывают» насквозь. Например, у-кванты с высокой энергией могут проходить через слой земли или бетона толщиной в несколько метров.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520" w:line="240" w:lineRule="auto"/>
        <w:ind w:left="0" w:right="0"/>
        <w:jc w:val="both"/>
      </w:pPr>
      <w:bookmarkStart w:id="12" w:name="bookmark12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Весьма велика проникающая способность и у нейтронов. Она несколько меньше, чем у у-и.злучения, но существенно бо</w:t>
        <w:softHyphen/>
        <w:t>льше, чем у ускоренных заряженных частиц. При ядерных и во</w:t>
        <w:softHyphen/>
        <w:t>дородных взрывах нейтронный поток распространяется на сот</w:t>
        <w:softHyphen/>
        <w:t>ни метров, легко проникая сквозь стальную броню и железобе</w:t>
        <w:softHyphen/>
        <w:t>тон. Энергия нейтронов наиболее эффективно передается ядрам легких атомов. Поэтому вещества, богатые атомами водорода, бериллия, углерода, находят применение в экранировании от нейтронного излучения. Тяжелые металлы, плохо задерживаю</w:t>
        <w:softHyphen/>
        <w:t>щие нейтроны, могут применяться для ослабления вторичного у-излучения, возникающего в легких материалах в результате не</w:t>
        <w:softHyphen/>
        <w:t>упругого рассеяния нейтронов и ядерных перестроек.</w:t>
      </w:r>
      <w:bookmarkEnd w:id="12"/>
    </w:p>
    <w:p>
      <w:pPr>
        <w:pStyle w:val="Style44"/>
        <w:keepNext/>
        <w:keepLines/>
        <w:widowControl w:val="0"/>
        <w:numPr>
          <w:ilvl w:val="1"/>
          <w:numId w:val="21"/>
        </w:numPr>
        <w:shd w:val="clear" w:color="auto" w:fill="auto"/>
        <w:tabs>
          <w:tab w:pos="428" w:val="left"/>
        </w:tabs>
        <w:bidi w:val="0"/>
        <w:spacing w:before="0" w:line="240" w:lineRule="auto"/>
        <w:ind w:left="0" w:right="0" w:firstLine="0"/>
        <w:jc w:val="center"/>
      </w:pPr>
      <w:bookmarkStart w:id="13" w:name="bookmark13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КОЛИЧЕСТВЕННАЯ ОЦЕНКА ИОНИЗИРУЮЩИХ ИЗЛУЧЕНИЙ</w:t>
      </w:r>
      <w:bookmarkEnd w:id="13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28" w:lineRule="auto"/>
        <w:ind w:left="0" w:right="0" w:firstLine="0"/>
        <w:jc w:val="both"/>
        <w:sectPr>
          <w:footerReference w:type="default" r:id="rId30"/>
          <w:footerReference w:type="even" r:id="rId31"/>
          <w:footnotePr>
            <w:pos w:val="pageBottom"/>
            <w:numFmt w:val="decimal"/>
            <w:numRestart w:val="continuous"/>
          </w:footnotePr>
          <w:pgSz w:w="7718" w:h="12379"/>
          <w:pgMar w:top="1181" w:right="667" w:bottom="1000" w:left="758" w:header="753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Если источник ионизирующего излучения находится вне орга</w:t>
        <w:softHyphen/>
        <w:t xml:space="preserve">низма и облучает его снаружи, говорят о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внешнем облучении.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Если же источник ионизирующего излучения оказывается внут</w:t>
        <w:softHyphen/>
        <w:t xml:space="preserve">ри организма (попадая туда с воздухом, пищей или водой), то он создает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внутреннее облучение.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в том и в другом случае величи-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 любого эффекта, развивающегося в результате воздействия ионизирующих излучений, определяется прежде всего количест</w:t>
        <w:softHyphen/>
        <w:t>вом переданной облучаемому объекту, в том числе организму че</w:t>
        <w:softHyphen/>
        <w:t>ловека, энергии. В связи с этим для количественной характери</w:t>
        <w:softHyphen/>
        <w:t>стики уровня воздействия ионизирующего излучения использу</w:t>
        <w:softHyphen/>
        <w:t>ют физические величины (доза, мощность дозы, активность).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26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Экспозиционная доза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(X) — это суммарный заряд частиц с электрическим зарядом одного знака, образовавшихся в еди</w:t>
        <w:softHyphen/>
        <w:t>ничном объеме воздуха вследствие его ионизации излучением. Определяется она по формуле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X =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dQ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/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dm,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40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где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dQ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суммарный заряд всех ионов одного знака, возникающих в воздухе при полном торможении всех вторичных электронов, образованных фотонами ионизирующих излучений в малом объеме пространства, Кл;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dm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— масса воз</w:t>
        <w:softHyphen/>
        <w:t>духа в этом объеме, кг.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 системе СИ единицей экспозиционной дозы является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ку</w:t>
        <w:softHyphen/>
        <w:t>лон, деленный на килограмм (Кл/кг).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Более часто, однако, приме</w:t>
        <w:softHyphen/>
        <w:t xml:space="preserve">няется внесистемная единица экспозиционной дозы —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рентген (Р)'.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 Кл/кг = 3876 Р и, наоборот, 1 Р = 2,58 • КГ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4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Кл/кг.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Изменения, вызываемые излучением в воздухе и в других средах (в том числе в тканях организма), количественно различ</w:t>
        <w:softHyphen/>
        <w:t>ны. Это связано с разным количеством энергии, передаваемой излучением одинаковым по массе количествам разных веществ при одной и той же экспозиционной дозе, измеренной в воздухе. Кроме того, в единицах экспозиционной дозы может быть изме</w:t>
        <w:softHyphen/>
        <w:t>рено лишь фотонное (рентгеновское и у) излучение. Учесть это можно выражая количество ионизирующих излучений в едини</w:t>
        <w:softHyphen/>
        <w:t xml:space="preserve">цах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поглощенной дозы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(D).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Физический смысл поглощенной дозы — количество энергии, переданной излучением единичной массе вещества: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D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=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dE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/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dm, dm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-&gt; 0.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23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 системе СИ поглощенную дозу выражают в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джоулях на ки</w:t>
        <w:softHyphen/>
        <w:t>лограмм или греях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footnoteReference w:id="2"/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(Гр):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 w:firstLine="0"/>
        <w:jc w:val="center"/>
        <w:sectPr>
          <w:footerReference w:type="default" r:id="rId32"/>
          <w:footerReference w:type="even" r:id="rId33"/>
          <w:footnotePr>
            <w:pos w:val="pageBottom"/>
            <w:numFmt w:val="chicago"/>
            <w:numStart w:val="1"/>
            <w:numRestart w:val="continuous"/>
            <w15:footnoteColumns w:val="1"/>
          </w:footnotePr>
          <w:pgSz w:w="8400" w:h="11900"/>
          <w:pgMar w:top="979" w:right="760" w:bottom="757" w:left="1357" w:header="551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 Гр = 1 Дж/кг.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Часто применяют внесистемную единицу поглощенной дозы —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рад,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являющуюся аббревиатурой слов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«radiation adsorbed dose».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 численно равен сантигрею (1 рад = 10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-2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Гр).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Если поглощенная доза распределяется в каком-то одном участке тела, говорят о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локальном облучении,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а если облучению подвергается все тело или большая его часть, — о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тотальном об</w:t>
        <w:softHyphen/>
        <w:t>лучении.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Вариантами тотального облучения являются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равномер</w:t>
        <w:softHyphen/>
        <w:t>ное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(неравномерность по дозе на отдельные части тела не превы</w:t>
        <w:softHyphen/>
        <w:t xml:space="preserve">шает 10%)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неравномерное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облучение.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сравнительной оценки биологического действия различ</w:t>
        <w:softHyphen/>
        <w:t xml:space="preserve">ных видов ионизирующих излучений введено понятие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эквива</w:t>
        <w:softHyphen/>
        <w:t>лентной дозы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(Н). Она определяется как поглощенная доза в ор</w:t>
        <w:softHyphen/>
        <w:t>гане или ткани, умноженная на соответствующий взвешиваю</w:t>
        <w:softHyphen/>
        <w:t>щий коэффициент для данного вида излучения: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 =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D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•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Q.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20" w:line="276" w:lineRule="auto"/>
        <w:ind w:left="320" w:right="0" w:hanging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где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D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поглощенная доза в данной точке ткани;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Q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— средний коэффициент качест</w:t>
        <w:softHyphen/>
        <w:t>ва излучения, который устанавливается для каждого вида излучения в зависи</w:t>
        <w:softHyphen/>
        <w:t>мости от его ЛПЭ.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 системе СИ единицей эквивалентной дозы служит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зиверт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footnoteReference w:id="3"/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(Зв),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а внесистемной единицей является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бэр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(аббревиатура слов «биологический эквивалент рада»):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 Зв = 100 бэр.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Эквивалентную дозу, как правило, используют для оценки опасности пролонгированного или хронического лучевого воз</w:t>
        <w:softHyphen/>
        <w:t>действия на организм. Для рентгеновского, у- и р-излучений 1 Зв соответствует поглощенной дозе в 1 Гр.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/>
        <w:jc w:val="both"/>
        <w:sectPr>
          <w:footerReference w:type="default" r:id="rId34"/>
          <w:footerReference w:type="even" r:id="rId35"/>
          <w:footnotePr>
            <w:pos w:val="pageBottom"/>
            <w:numFmt w:val="chicago"/>
            <w:numRestart w:val="continuous"/>
            <w15:footnoteColumns w:val="1"/>
          </w:footnotePr>
          <w:pgSz w:w="7334" w:h="12302"/>
          <w:pgMar w:top="1253" w:right="576" w:bottom="837" w:left="46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Следует также учитывать, что одни органы и ткани более чув</w:t>
        <w:softHyphen/>
        <w:t>ствительны к действию радиации, чем другие. Например, при одинаковой эквивалентной дозе облучения вероятность возник</w:t>
        <w:softHyphen/>
        <w:t>новения рака легких больше, чем щитовидной железы. Облуче</w:t>
        <w:softHyphen/>
        <w:t>ние половых желез особенно опасно из-за риска генетических последствий. Поэтому дозы облучения органов и тканей также следует учитывать с различными коэффициентами. Это положе</w:t>
        <w:softHyphen/>
        <w:t xml:space="preserve">ние легло в основу определения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эффективной дозы,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которая так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же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измеряется в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зивертах (Зв).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Доза эффективная (Е) — это ве</w:t>
        <w:softHyphen/>
        <w:t>личина, используемая как мера риска возникновения отдален</w:t>
        <w:softHyphen/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ных последствий облучения всего тела человека и отдельных его органов и тканей с учетом их радиочувствительности.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оценки опасности ионизирующих излучений для группы людей или для популяции в целом следует пользоваться поняти</w:t>
        <w:softHyphen/>
        <w:t xml:space="preserve">ем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коллективная эффективная доза.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Она рассчитывается как сумма индивидуальных эффективных доз, полученных группой людей, и измеряется в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человеко-зивертах (чел.-Зв).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Доза эффек</w:t>
        <w:softHyphen/>
        <w:t>тивная коллективная — это мера коллективного риска возник</w:t>
        <w:softHyphen/>
        <w:t>новения стохастических эффектов облучения, равная сумме ин</w:t>
        <w:softHyphen/>
        <w:t>дивидуальных эффективных доз.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характеристики интенсивности воздействия ионизирую</w:t>
        <w:softHyphen/>
        <w:t xml:space="preserve">щих излучений используют величину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мощности дозы излучения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(Р). Мощность дозы понимают как дозу (экспозиционную, по</w:t>
        <w:softHyphen/>
        <w:t>глощенную или эквивалентную), регистрируемую за единицу времени.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Непосредственно измеряют, как правило,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мощность экспози</w:t>
        <w:softHyphen/>
        <w:t>ционной дозы.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Ее единицей в системе СИ является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кулон, делен</w:t>
        <w:softHyphen/>
        <w:t>ный на килограмм в секунду (Кл / (кг • с)),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т. е.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ампер на килограмм (А/кг).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Весьма часто пользуются внесистемной единицей мощ</w:t>
        <w:softHyphen/>
        <w:t xml:space="preserve">ности экспозиционной дозы —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рентген в час (Р/ч)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ее производ</w:t>
        <w:softHyphen/>
        <w:t>ными (мР/ч, мкР/ч). При хронических воздействиях недиффе</w:t>
        <w:softHyphen/>
        <w:t xml:space="preserve">ренцированных потоков ионизирующих излучений используют единицы мощности эквивалентной дозы: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зиверт в год (Зв/год)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или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бэр в год (бэр/год).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41" w:right="578" w:bottom="747" w:left="154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зависимости от мощности дозы и времени действия иони</w:t>
        <w:softHyphen/>
        <w:t>зирующего излучения различают кратковременное, пролонгиро</w:t>
        <w:softHyphen/>
        <w:t xml:space="preserve">ванное и хроническое облучение.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Кратковременным облучением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считается импульсное воздействие у-нейтронного излучения ядерного взрыва, а также облучение с мощностью дозы свыше 0,02 Гр/мин. Непрерывное радиационное воздействие в течение нескольких месяцев или лет называют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хроническим облучением,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а промежуточное положение между кратковременным и хрониче</w:t>
        <w:softHyphen/>
        <w:t xml:space="preserve">ским занимает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пролонгированное облучение.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Временные границы между кратковременным, пролонгированным и хроническим облучением являются весьма условными. Если не менее 80% всей дозы организм человека получает не более чем за 4 суток и перерывов в облучении нет или они очень непродолжительны (измеряются минутами, часами), то такое облучение называют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однократным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острым.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Острое облучение в больших дозах возможно при действии проникающей радиации ядерного взры-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ва, преодолении зоны радиоактивного заражения местности, на</w:t>
        <w:softHyphen/>
        <w:t>хождении вблизи разрушенного атомного реактора.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Если получаемая доза ионизирующего излучения разделена на части (фракции), чередующиеся с длительными промежутками времени, в течение которых облучение не происходит, то такое облучение называют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фракционированным.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Фракционированное облучение возможно, например, при многократном пересечении зон радиоактивного заражения местности или при лучевой те</w:t>
        <w:softHyphen/>
        <w:t>рапии. Если промежутки между фракциями достаточно малы (менее суток), то по результатам воздействия на человека фрак</w:t>
        <w:softHyphen/>
        <w:t>ционированное облучение приблизительно соответствует непре</w:t>
        <w:softHyphen/>
        <w:t>рывному (пролонгированному или хроническому) облучению в дозе, равной сумме фракций. Однако чаще биологические эф</w:t>
        <w:softHyphen/>
        <w:t>фекты фракционированного облучения бывают менее выражен</w:t>
        <w:softHyphen/>
        <w:t>ными, чем при непрерывном облучении, так как в промежутках между фракциями может происходить репарация лучевых по</w:t>
        <w:softHyphen/>
        <w:t>вреждений. Следует отметить, что при равной дозе облучения биологические эффекты бывают выражены тем сильнее, чем больше мощность дозы излучения.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основу измерения количеств радиоактивных веществ поло</w:t>
        <w:softHyphen/>
        <w:t xml:space="preserve">жено свойство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радиоактивности,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т. е. способности к испусканию ионизирующих излучений. В системе СИ за единицу радиоак</w:t>
        <w:softHyphen/>
        <w:t xml:space="preserve">тивности принят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распад в секунду (расп./с или с~</w:t>
      </w:r>
      <w:r>
        <w:rPr>
          <w:i/>
          <w:iCs/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!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беккерель (Бк),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а традиционной единицей является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кюри (Ки):</w:t>
      </w:r>
    </w:p>
    <w:p>
      <w:pPr>
        <w:pStyle w:val="Style21"/>
        <w:keepNext w:val="0"/>
        <w:keepLines w:val="0"/>
        <w:widowControl w:val="0"/>
        <w:numPr>
          <w:ilvl w:val="0"/>
          <w:numId w:val="23"/>
        </w:numPr>
        <w:shd w:val="clear" w:color="auto" w:fill="auto"/>
        <w:tabs>
          <w:tab w:pos="188" w:val="left"/>
        </w:tabs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расп./с =1 Бк = 2,7 • 10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-11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Ки.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Активность, отнесенная к единице массы зараженного ра</w:t>
        <w:softHyphen/>
        <w:t xml:space="preserve">дионуклидами вещества, называется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удельной активностью ве</w:t>
        <w:softHyphen/>
        <w:t>щества,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а к единице объема —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объемной активностью.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Актив</w:t>
        <w:softHyphen/>
        <w:t>ность, приходящаяся на единицу площади зараженной радио</w:t>
        <w:softHyphen/>
        <w:t xml:space="preserve">нуклидами поверхности, называется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плотностью поверхностного шражения.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7714" w:h="12341"/>
          <w:pgMar w:top="1310" w:right="691" w:bottom="1310" w:left="74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Основные физические величины, применяемые для количе</w:t>
        <w:softHyphen/>
        <w:t>ственной характеристики ионизирующих излучений, и единицы их измерения представлены в табл. 1.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0"/>
        <w:jc w:val="righ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Таблица 1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60" w:line="233" w:lineRule="auto"/>
        <w:ind w:left="0" w:right="0" w:firstLine="0"/>
        <w:jc w:val="center"/>
        <w:rPr>
          <w:sz w:val="18"/>
          <w:szCs w:val="18"/>
        </w:rPr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>Основные физические величины, используемые в радиобиологии,</w:t>
        <w:br/>
        <w:t>и единицы их измерения</w:t>
      </w:r>
    </w:p>
    <w:tbl>
      <w:tblPr>
        <w:tblOverlap w:val="never"/>
        <w:jc w:val="center"/>
        <w:tblLayout w:type="fixed"/>
      </w:tblPr>
      <w:tblGrid>
        <w:gridCol w:w="1339"/>
        <w:gridCol w:w="1234"/>
        <w:gridCol w:w="1162"/>
        <w:gridCol w:w="1219"/>
        <w:gridCol w:w="1320"/>
      </w:tblGrid>
      <w:tr>
        <w:trPr>
          <w:trHeight w:val="643" w:hRule="exact"/>
        </w:trPr>
        <w:tc>
          <w:tcPr>
            <w:vMerge w:val="restart"/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Физическая величина</w:t>
            </w:r>
          </w:p>
        </w:tc>
        <w:tc>
          <w:tcPr>
            <w:gridSpan w:val="2"/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54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Единица, ее наименование, обозначение (русское, международное)</w:t>
            </w:r>
          </w:p>
        </w:tc>
        <w:tc>
          <w:tcPr>
            <w:gridSpan w:val="2"/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Соотношение между единицами</w:t>
            </w:r>
          </w:p>
        </w:tc>
      </w:tr>
      <w:tr>
        <w:trPr>
          <w:trHeight w:val="432" w:hRule="exact"/>
        </w:trPr>
        <w:tc>
          <w:tcPr>
            <w:vMerge/>
            <w:tcBorders/>
            <w:shd w:val="clear" w:color="auto" w:fill="auto"/>
            <w:vAlign w:val="center"/>
          </w:tcPr>
          <w:p>
            <w:pPr/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внесистемная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система СИ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внесистемной и системы СИ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54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системы СИ и внесистемной</w:t>
            </w:r>
          </w:p>
        </w:tc>
      </w:tr>
      <w:tr>
        <w:trPr>
          <w:trHeight w:val="643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2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Экспозиционная доза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Рентген (Р,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R)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Кулон на килограмм (Кл/кг,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C/kg)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 р =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2,58 • 1 СИ Кл/кг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 Кл/кг = 3876 Р</w:t>
            </w:r>
          </w:p>
        </w:tc>
      </w:tr>
      <w:tr>
        <w:trPr>
          <w:trHeight w:val="638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Мощность экспозиционной дозы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1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Рентген в секунду (Р/с,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R/s)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Ампер на килограмм (А/кг,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A/kg)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 Р/с = 2,58 • 10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-4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 А/кг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 А/кг = 3876 Р/с</w:t>
            </w:r>
          </w:p>
        </w:tc>
      </w:tr>
      <w:tr>
        <w:trPr>
          <w:trHeight w:val="451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Поглощенная доза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Рад (рад,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rad)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Грей (Гр,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Gy)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54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 рад = 0,001 Гр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 Гр = 100 рад</w:t>
            </w:r>
          </w:p>
        </w:tc>
      </w:tr>
      <w:tr>
        <w:trPr>
          <w:trHeight w:val="446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Эквивалентная доза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Бэр (бэр,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rem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footnoteReference w:id="4"/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280" w:right="0" w:firstLine="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Зиверт (Зв,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Sv)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 бэр = 0,01 Зв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 Зв = 100 бэр</w:t>
            </w:r>
          </w:p>
        </w:tc>
      </w:tr>
      <w:tr>
        <w:trPr>
          <w:trHeight w:val="451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Эффективная доза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Бэр (бэр,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rem)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280" w:right="0" w:firstLine="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Зиверт (Зв,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Sv)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 бэр = 0,01 Зв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 Зв = 100 бэр</w:t>
            </w:r>
          </w:p>
        </w:tc>
      </w:tr>
      <w:tr>
        <w:trPr>
          <w:trHeight w:val="446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Активность радионуклида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12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Кюри (Ки,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Ci)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Беккерель (Бк,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Bq)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 Ки =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3,7 • Ю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10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Бк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 Бк =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2,7 • 10-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11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 Ки</w:t>
            </w:r>
          </w:p>
        </w:tc>
      </w:tr>
      <w:tr>
        <w:trPr>
          <w:trHeight w:val="643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Удельная активность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4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Кюри на килограмм (Ки/кг,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Ci/kg)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4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Беккерель на килограмм (Бк/кг,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Bq/kg)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 Ки/кг =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3,7 «10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10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 Бк/кг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 Бк/кг =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2,7 • 10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-11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 Ки/кг</w:t>
            </w:r>
          </w:p>
        </w:tc>
      </w:tr>
      <w:tr>
        <w:trPr>
          <w:trHeight w:val="811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120" w:after="0" w:line="264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Плотность поверхностного заражения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Кюри на квадратный метр (Ки/м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2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,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Ci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/м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2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Беккерель на квадратный метр (Бк/м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2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,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Bq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/м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2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 Ки/м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2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 =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3,7 • 10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1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° Бк/м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2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 Бк/м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2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 =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2,7 • 10-" Ки/м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2</w:t>
            </w:r>
          </w:p>
        </w:tc>
      </w:tr>
    </w:tbl>
    <w:p>
      <w:pPr>
        <w:widowControl w:val="0"/>
        <w:spacing w:after="459" w:line="1" w:lineRule="exact"/>
      </w:pPr>
    </w:p>
    <w:p>
      <w:pPr>
        <w:pStyle w:val="Style44"/>
        <w:keepNext/>
        <w:keepLines/>
        <w:widowControl w:val="0"/>
        <w:numPr>
          <w:ilvl w:val="1"/>
          <w:numId w:val="23"/>
        </w:numPr>
        <w:shd w:val="clear" w:color="auto" w:fill="auto"/>
        <w:tabs>
          <w:tab w:pos="433" w:val="left"/>
        </w:tabs>
        <w:bidi w:val="0"/>
        <w:spacing w:before="0" w:line="240" w:lineRule="auto"/>
        <w:ind w:left="0" w:right="0" w:firstLine="0"/>
        <w:jc w:val="center"/>
      </w:pPr>
      <w:bookmarkStart w:id="15" w:name="bookmark15"/>
      <w:bookmarkStart w:id="16" w:name="bookmark16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ОСНОВНЫЕ ИСТОЧНИКИ ИОНИЗИРУЮЩИХ ИЗЛУЧЕНИЙ</w:t>
      </w:r>
      <w:bookmarkEnd w:id="16"/>
      <w:bookmarkEnd w:id="15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60" w:line="233" w:lineRule="auto"/>
        <w:ind w:left="0" w:right="0" w:firstLine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67" w:right="514" w:bottom="867" w:left="161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Радиоактивность и сопутствующие ей ионизирующие излучения присутствовали в космосе еще до возникновения самой Земли. Ионизирующие излучения сопровождали и Большой взрыв, с которого, как мы сейчас полагаем, началось существование на</w:t>
        <w:softHyphen/>
        <w:t>шей Вселенной около 20 млрд лет назад. С того времени радиа</w:t>
        <w:softHyphen/>
        <w:t>ция наполняет космическое пространство, а радиоактивные ма</w:t>
        <w:softHyphen/>
        <w:t>териалы вошли в состав Земли. Даже человек слегка радиоакти</w:t>
        <w:softHyphen/>
        <w:t>вен, так как во всякой живой ткани присутствуют следовые количества радионуклидов.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Люди все время подвергаются воздействию ионизирующих излучений. Облучение чаще всего происходит в диапазоне ма</w:t>
        <w:softHyphen/>
        <w:t>лых доз, причем большей частью с низкой мощностью дозы. Среднегодовая эффективная доза населения Земли составляет чуть более 2,4 мЗв, для США приблизительно 3,6 мЗв, в Вели</w:t>
        <w:softHyphen/>
        <w:t>кобритании около 2,5 мЗв. По данным Роспотребнадзора, сред</w:t>
        <w:softHyphen/>
        <w:t>няя годовая эффективная доза в различных регионах России ко</w:t>
        <w:softHyphen/>
        <w:t>леблется от 0,60 до 3,10 мЗв (рис. 4).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Источники ионизирующих излучений делят на естественные и искусственные.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Наибольшую дозу облучения человек, как правило, получает от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естественных источников радиации,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которые формируют бо</w:t>
        <w:softHyphen/>
        <w:t>лее 2/3 от общего радиационного фона. Суммарная годовая доза от естественных источников составляет около 2 мЗв.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 естественным источникам относятся земная радиация и космические лучи. Земные источники радиации обеспечивают большую часть годовой эффективной эквивалентной дозы, по</w:t>
        <w:softHyphen/>
        <w:t>лучаемой людьми от всех естественных источников (в основном от внутреннего облучения), оставшуюся часть вносят космиче</w:t>
        <w:softHyphen/>
        <w:t>ские лучи (главным образом путем внешнего облучения).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Космические лучи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основном приходят к нам из глубин Все</w:t>
        <w:softHyphen/>
        <w:t>ленной, но некоторая их часть рождается на Солнце во время солнечных вспышек. Космические лучи могут достигать поверх</w:t>
        <w:softHyphen/>
        <w:t>ности Земли или взаимодействовать с ее атмосферой, порождая вторичное излучение и приводя к образованию различных ра</w:t>
        <w:softHyphen/>
        <w:t>дионуклидов.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Нет такого места на Земле, куда бы не падал этот невидимый космический душ, однако одни участки земной поверхности бо</w:t>
        <w:softHyphen/>
        <w:t>лее подвержены его действию, чем другие. Северный и Южный полюсы получают больше радиации, чем экваториальные облас</w:t>
        <w:softHyphen/>
        <w:t>ти, из-за наличия у Земли магнитного поля, отклоняющего заря</w:t>
        <w:softHyphen/>
        <w:t>женные частицы (из которых в основном и состоят космические лучи).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  <w:sectPr>
          <w:footerReference w:type="default" r:id="rId36"/>
          <w:footerReference w:type="even" r:id="rId37"/>
          <w:footnotePr>
            <w:pos w:val="pageBottom"/>
            <w:numFmt w:val="chicago"/>
            <w:numRestart w:val="continuous"/>
            <w15:footnoteColumns w:val="1"/>
          </w:footnotePr>
          <w:pgSz w:w="7579" w:h="12302"/>
          <w:pgMar w:top="1094" w:right="533" w:bottom="1024" w:left="754" w:header="666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Уровень облучения растет с высотой, поскольку при этом остается все меньше воздуха, играющего роль защитного экрана. Люди, живущие на уровне моря, получают в среднем из-за космических лучей эффективную эквивалентную дозу около 300 мкЗв в год; для людей же, живущих выше 2000 м над уровнем моря, эта величина в несколько раз больше. Еще более интен</w:t>
        <w:softHyphen/>
        <w:t>сивному, хотя и относительно непродолжительному облучению подвергаются экипажи и пассажиры самолетов. При подъеме с</w:t>
      </w:r>
    </w:p>
    <w:p>
      <w:pPr>
        <w:pStyle w:val="Style48"/>
        <w:keepNext w:val="0"/>
        <w:keepLines w:val="0"/>
        <w:framePr w:w="2318" w:h="187" w:wrap="none" w:hAnchor="page" w:x="3510" w:y="102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3"/>
          <w:szCs w:val="13"/>
        </w:rPr>
      </w:pPr>
      <w:r>
        <w:rPr>
          <w:b/>
          <w:bCs/>
          <w:spacing w:val="0"/>
          <w:w w:val="100"/>
          <w:position w:val="0"/>
          <w:sz w:val="13"/>
          <w:szCs w:val="13"/>
          <w:shd w:val="clear" w:color="auto" w:fill="auto"/>
          <w:lang w:val="ru-RU" w:eastAsia="ru-RU" w:bidi="ru-RU"/>
        </w:rPr>
        <w:t>Космические лучи — 0,37 мЗв/год</w:t>
      </w:r>
    </w:p>
    <w:p>
      <w:pPr>
        <w:pStyle w:val="Style61"/>
        <w:keepNext w:val="0"/>
        <w:keepLines w:val="0"/>
        <w:framePr w:w="1546" w:h="331" w:wrap="none" w:hAnchor="page" w:x="5137" w:y="4062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Вода, пища, воздух </w:t>
      </w:r>
      <w:r>
        <w:rPr>
          <w:color w:val="8A8A8A"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1,35 мЗв/год</w:t>
      </w:r>
    </w:p>
    <w:p>
      <w:pPr>
        <w:pStyle w:val="Style61"/>
        <w:keepNext w:val="0"/>
        <w:keepLines w:val="0"/>
        <w:framePr w:w="1954" w:h="557" w:wrap="none" w:hAnchor="page" w:x="4383" w:y="4479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Калий-40 — 0,18 мЗв/год ' Радон-222 — 1 мЗв/год </w:t>
      </w:r>
      <w:r>
        <w:rPr>
          <w:spacing w:val="0"/>
          <w:w w:val="100"/>
          <w:position w:val="0"/>
          <w:u w:val="single"/>
          <w:shd w:val="clear" w:color="auto" w:fill="auto"/>
          <w:lang w:val="ru-RU" w:eastAsia="ru-RU" w:bidi="ru-RU"/>
        </w:rPr>
        <w:t>.Свинец-210 — 0,12 мЗв/год</w:t>
      </w:r>
    </w:p>
    <w:p>
      <w:pPr>
        <w:pStyle w:val="Style61"/>
        <w:keepNext w:val="0"/>
        <w:keepLines w:val="0"/>
        <w:framePr w:w="1771" w:h="797" w:wrap="none" w:hAnchor="page" w:x="4763" w:y="5108"/>
        <w:widowControl w:val="0"/>
        <w:shd w:val="clear" w:color="auto" w:fill="auto"/>
        <w:bidi w:val="0"/>
        <w:spacing w:before="0" w:after="0" w:line="192" w:lineRule="auto"/>
        <w:ind w:left="0" w:right="0" w:firstLine="16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Авиаперелет</w:t>
      </w:r>
    </w:p>
    <w:p>
      <w:pPr>
        <w:pStyle w:val="Style61"/>
        <w:keepNext w:val="0"/>
        <w:keepLines w:val="0"/>
        <w:framePr w:w="1771" w:h="797" w:wrap="none" w:hAnchor="page" w:x="4763" w:y="5108"/>
        <w:widowControl w:val="0"/>
        <w:shd w:val="clear" w:color="auto" w:fill="auto"/>
        <w:bidi w:val="0"/>
        <w:spacing w:before="0" w:after="0" w:line="192" w:lineRule="auto"/>
        <w:ind w:left="160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С.-Петербург — Москва и обратно — 0,01 мЗв</w:t>
      </w:r>
    </w:p>
    <w:p>
      <w:pPr>
        <w:pStyle w:val="Style61"/>
        <w:keepNext w:val="0"/>
        <w:keepLines w:val="0"/>
        <w:framePr w:w="1771" w:h="797" w:wrap="none" w:hAnchor="page" w:x="4763" w:y="5108"/>
        <w:widowControl w:val="0"/>
        <w:shd w:val="clear" w:color="auto" w:fill="auto"/>
        <w:bidi w:val="0"/>
        <w:spacing w:before="0" w:after="0" w:line="185" w:lineRule="auto"/>
        <w:ind w:left="0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Авиаперелет</w:t>
      </w:r>
    </w:p>
    <w:p>
      <w:pPr>
        <w:pStyle w:val="Style61"/>
        <w:keepNext w:val="0"/>
        <w:keepLines w:val="0"/>
        <w:framePr w:w="1771" w:h="797" w:wrap="none" w:hAnchor="page" w:x="4763" w:y="5108"/>
        <w:widowControl w:val="0"/>
        <w:pBdr>
          <w:bottom w:val="single" w:sz="4" w:space="0" w:color="auto"/>
        </w:pBdr>
        <w:shd w:val="clear" w:color="auto" w:fill="auto"/>
        <w:bidi w:val="0"/>
        <w:spacing w:before="0" w:after="0" w:line="185" w:lineRule="auto"/>
        <w:ind w:left="0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Томск — Москва </w:t>
      </w:r>
      <w:r>
        <w:rPr>
          <w:spacing w:val="0"/>
          <w:w w:val="100"/>
          <w:position w:val="0"/>
          <w:u w:val="single"/>
          <w:shd w:val="clear" w:color="auto" w:fill="auto"/>
          <w:lang w:val="ru-RU" w:eastAsia="ru-RU" w:bidi="ru-RU"/>
        </w:rPr>
        <w:t>и обратно — 0,04 мЗв</w:t>
      </w:r>
    </w:p>
    <w:p>
      <w:pPr>
        <w:pStyle w:val="Style48"/>
        <w:keepNext w:val="0"/>
        <w:keepLines w:val="0"/>
        <w:framePr w:w="1661" w:h="326" w:wrap="none" w:hAnchor="page" w:x="5079" w:y="630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3"/>
          <w:szCs w:val="13"/>
        </w:rPr>
      </w:pPr>
      <w:r>
        <w:rPr>
          <w:b/>
          <w:bCs/>
          <w:spacing w:val="0"/>
          <w:w w:val="100"/>
          <w:position w:val="0"/>
          <w:sz w:val="13"/>
          <w:szCs w:val="13"/>
          <w:shd w:val="clear" w:color="auto" w:fill="auto"/>
          <w:lang w:val="ru-RU" w:eastAsia="ru-RU" w:bidi="ru-RU"/>
        </w:rPr>
        <w:t>Рентгенодиагностика — 1 мЗв</w:t>
      </w:r>
    </w:p>
    <w:p>
      <w:pPr>
        <w:pStyle w:val="Style48"/>
        <w:keepNext w:val="0"/>
        <w:keepLines w:val="0"/>
        <w:framePr w:w="1282" w:h="331" w:wrap="none" w:hAnchor="page" w:x="5103" w:y="678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3"/>
          <w:szCs w:val="13"/>
        </w:rPr>
      </w:pPr>
      <w:r>
        <w:rPr>
          <w:b/>
          <w:bCs/>
          <w:spacing w:val="0"/>
          <w:w w:val="100"/>
          <w:position w:val="0"/>
          <w:sz w:val="13"/>
          <w:szCs w:val="13"/>
          <w:shd w:val="clear" w:color="auto" w:fill="auto"/>
          <w:lang w:val="ru-RU" w:eastAsia="ru-RU" w:bidi="ru-RU"/>
        </w:rPr>
        <w:t>Флюорография — 1,4 мЗв</w:t>
      </w:r>
    </w:p>
    <w:p>
      <w:pPr>
        <w:pStyle w:val="Style48"/>
        <w:keepNext w:val="0"/>
        <w:keepLines w:val="0"/>
        <w:framePr w:w="4680" w:h="211" w:wrap="none" w:hAnchor="page" w:x="2607" w:y="10792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Рис. 4.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Основные источники облучения населения России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4737" behindDoc="1" locked="0" layoutInCell="1" allowOverlap="1">
            <wp:simplePos x="0" y="0"/>
            <wp:positionH relativeFrom="page">
              <wp:posOffset>85090</wp:posOffset>
            </wp:positionH>
            <wp:positionV relativeFrom="margin">
              <wp:posOffset>0</wp:posOffset>
            </wp:positionV>
            <wp:extent cx="591185" cy="7680960"/>
            <wp:wrapNone/>
            <wp:docPr id="55" name="Shape 5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box 56"/>
                    <pic:cNvPicPr/>
                  </pic:nvPicPr>
                  <pic:blipFill>
                    <a:blip r:embed="rId38"/>
                    <a:stretch/>
                  </pic:blipFill>
                  <pic:spPr>
                    <a:xfrm>
                      <a:ext cx="591185" cy="768096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103505" distB="0" distL="0" distR="0" simplePos="0" relativeHeight="62914738" behindDoc="1" locked="0" layoutInCell="1" allowOverlap="1">
            <wp:simplePos x="0" y="0"/>
            <wp:positionH relativeFrom="page">
              <wp:posOffset>2011680</wp:posOffset>
            </wp:positionH>
            <wp:positionV relativeFrom="margin">
              <wp:posOffset>752475</wp:posOffset>
            </wp:positionV>
            <wp:extent cx="2212975" cy="1682750"/>
            <wp:wrapNone/>
            <wp:docPr id="57" name="Shape 5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box 58"/>
                    <pic:cNvPicPr/>
                  </pic:nvPicPr>
                  <pic:blipFill>
                    <a:blip r:embed="rId40"/>
                    <a:stretch/>
                  </pic:blipFill>
                  <pic:spPr>
                    <a:xfrm>
                      <a:ext cx="2212975" cy="168275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4739" behindDoc="1" locked="0" layoutInCell="1" allowOverlap="1">
            <wp:simplePos x="0" y="0"/>
            <wp:positionH relativeFrom="page">
              <wp:posOffset>1993265</wp:posOffset>
            </wp:positionH>
            <wp:positionV relativeFrom="margin">
              <wp:posOffset>3227705</wp:posOffset>
            </wp:positionV>
            <wp:extent cx="1121410" cy="548640"/>
            <wp:wrapNone/>
            <wp:docPr id="59" name="Shape 5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box 60"/>
                    <pic:cNvPicPr/>
                  </pic:nvPicPr>
                  <pic:blipFill>
                    <a:blip r:embed="rId42"/>
                    <a:stretch/>
                  </pic:blipFill>
                  <pic:spPr>
                    <a:xfrm>
                      <a:ext cx="1121410" cy="54864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4740" behindDoc="1" locked="0" layoutInCell="1" allowOverlap="1">
            <wp:simplePos x="0" y="0"/>
            <wp:positionH relativeFrom="page">
              <wp:posOffset>2246630</wp:posOffset>
            </wp:positionH>
            <wp:positionV relativeFrom="margin">
              <wp:posOffset>3785870</wp:posOffset>
            </wp:positionV>
            <wp:extent cx="475615" cy="932815"/>
            <wp:wrapNone/>
            <wp:docPr id="61" name="Shape 6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Picture box 62"/>
                    <pic:cNvPicPr/>
                  </pic:nvPicPr>
                  <pic:blipFill>
                    <a:blip r:embed="rId44"/>
                    <a:stretch/>
                  </pic:blipFill>
                  <pic:spPr>
                    <a:xfrm>
                      <a:ext cx="475615" cy="93281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1054735" simplePos="0" relativeHeight="62914741" behindDoc="1" locked="0" layoutInCell="1" allowOverlap="1">
            <wp:simplePos x="0" y="0"/>
            <wp:positionH relativeFrom="page">
              <wp:posOffset>2846705</wp:posOffset>
            </wp:positionH>
            <wp:positionV relativeFrom="margin">
              <wp:posOffset>3794760</wp:posOffset>
            </wp:positionV>
            <wp:extent cx="377825" cy="798830"/>
            <wp:wrapNone/>
            <wp:docPr id="63" name="Shape 6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Picture box 64"/>
                    <pic:cNvPicPr/>
                  </pic:nvPicPr>
                  <pic:blipFill>
                    <a:blip r:embed="rId46"/>
                    <a:stretch/>
                  </pic:blipFill>
                  <pic:spPr>
                    <a:xfrm>
                      <a:ext cx="377825" cy="79883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219710" distL="347345" distR="393065" simplePos="0" relativeHeight="62914742" behindDoc="1" locked="0" layoutInCell="1" allowOverlap="1">
            <wp:simplePos x="0" y="0"/>
            <wp:positionH relativeFrom="page">
              <wp:posOffset>2002155</wp:posOffset>
            </wp:positionH>
            <wp:positionV relativeFrom="margin">
              <wp:posOffset>4745990</wp:posOffset>
            </wp:positionV>
            <wp:extent cx="2231390" cy="2023745"/>
            <wp:wrapNone/>
            <wp:docPr id="65" name="Shape 6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Picture box 66"/>
                    <pic:cNvPicPr/>
                  </pic:nvPicPr>
                  <pic:blipFill>
                    <a:blip r:embed="rId48"/>
                    <a:stretch/>
                  </pic:blipFill>
                  <pic:spPr>
                    <a:xfrm>
                      <a:ext cx="2231390" cy="202374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4743" behindDoc="1" locked="0" layoutInCell="1" allowOverlap="1">
            <wp:simplePos x="0" y="0"/>
            <wp:positionH relativeFrom="margin">
              <wp:posOffset>1920240</wp:posOffset>
            </wp:positionH>
            <wp:positionV relativeFrom="margin">
              <wp:posOffset>2451100</wp:posOffset>
            </wp:positionV>
            <wp:extent cx="1237615" cy="731520"/>
            <wp:wrapNone/>
            <wp:docPr id="67" name="Shape 6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Picture box 68"/>
                    <pic:cNvPicPr/>
                  </pic:nvPicPr>
                  <pic:blipFill>
                    <a:blip r:embed="rId50"/>
                    <a:stretch/>
                  </pic:blipFill>
                  <pic:spPr>
                    <a:xfrm>
                      <a:ext cx="1237615" cy="73152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574" w:line="1" w:lineRule="exact"/>
      </w:pPr>
    </w:p>
    <w:p>
      <w:pPr>
        <w:widowControl w:val="0"/>
        <w:spacing w:line="1" w:lineRule="exact"/>
        <w:sectPr>
          <w:footerReference w:type="default" r:id="rId52"/>
          <w:footerReference w:type="even" r:id="rId53"/>
          <w:footnotePr>
            <w:pos w:val="pageBottom"/>
            <w:numFmt w:val="chicago"/>
            <w:numRestart w:val="continuous"/>
            <w15:footnoteColumns w:val="1"/>
          </w:footnotePr>
          <w:pgSz w:w="8654" w:h="12566"/>
          <w:pgMar w:top="302" w:right="1368" w:bottom="888" w:left="134" w:header="0" w:footer="3" w:gutter="0"/>
          <w:cols w:space="720"/>
          <w:noEndnote/>
          <w:rtlGutter w:val="0"/>
          <w:docGrid w:linePitch="360"/>
        </w:sectPr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высоты 4000 м (максимальная высота, на которой расположены человеческие поселения — деревни шерпов на склонах Эвере</w:t>
        <w:softHyphen/>
        <w:t>ста) до 12 000 м (максимальная высота полета трансконтинента</w:t>
        <w:softHyphen/>
        <w:t>льных авиалайнеров) уровень облучения за счет космических лу</w:t>
        <w:softHyphen/>
        <w:t>чей возрастает примерно в 25 раз. При дальнейшем увеличении высоты до 20 000 м (максимальная высота полета сверхзвуковых реактивных самолетов) уровень облучения также продолжает расти (рис. 5).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Всего за счет использования воздушного транспорта челове</w:t>
        <w:softHyphen/>
        <w:t>чество получает в год коллективную эффективную эквивалент</w:t>
        <w:softHyphen/>
        <w:t>ную дозу около 2000 чел.-Зв.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Земная радиация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обусловлена главным образом излучением изотопов калия-40 и рубидия-87, а также членов радиоактивных семейств урана-238 и тория-232, которые входят в состав Земли с самого ее рождения. Уровни земной радиации неодинаковы для разных мест земного шара и зависят от концентрации радио</w:t>
        <w:softHyphen/>
        <w:t>нуклидов в том или ином участке земной коры. Средняя доза внешнего облучения человека в год от земных источников есте</w:t>
        <w:softHyphen/>
        <w:t>ственной радиации колеблется примерно от 0,3 до 0,6 мЗв, в Ев</w:t>
        <w:softHyphen/>
        <w:t>ропейских странах она составляет 2—4 мЗв в год. Есть, однако, такие места, где уровни земной радиации намного выше: в Бра</w:t>
        <w:softHyphen/>
        <w:t>зилии рядом с г. Посус-ди-Калдас — 250 мЗв/год, на курорте Гу- арапари — 175 мЗв/год, в Иране (г. Рамсер) — до 400 мЗв/год.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среднем примерно 2/3 эффективной дозы облучения, кото</w:t>
        <w:softHyphen/>
        <w:t>рую человек получает от естественных источников радиации,</w:t>
      </w:r>
    </w:p>
    <w:p>
      <w:pPr>
        <w:pStyle w:val="Style48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307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Космическое излучение на высоте 10 000-12 000 м — до 200-250 мкР/ч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858895" cy="1981200"/>
            <wp:docPr id="73" name="Picutre 7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Picture 73"/>
                    <pic:cNvPicPr/>
                  </pic:nvPicPr>
                  <pic:blipFill>
                    <a:blip r:embed="rId54"/>
                    <a:stretch/>
                  </pic:blipFill>
                  <pic:spPr>
                    <a:xfrm>
                      <a:ext cx="3858895" cy="1981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8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542" w:right="0" w:firstLine="0"/>
        <w:jc w:val="left"/>
        <w:sectPr>
          <w:footerReference w:type="default" r:id="rId56"/>
          <w:footerReference w:type="even" r:id="rId57"/>
          <w:footnotePr>
            <w:pos w:val="pageBottom"/>
            <w:numFmt w:val="chicago"/>
            <w:numRestart w:val="continuous"/>
            <w15:footnoteColumns w:val="1"/>
          </w:footnotePr>
          <w:pgSz w:w="7541" w:h="12427"/>
          <w:pgMar w:top="1291" w:right="514" w:bottom="923" w:left="749" w:header="863" w:footer="3" w:gutter="0"/>
          <w:cols w:space="720"/>
          <w:noEndnote/>
          <w:rtlGutter w:val="0"/>
          <w:docGrid w:linePitch="360"/>
        </w:sectPr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Рис. 5.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Изменение уровня космического излучения с высотой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обусловлены радиоактивными веществами, попадающими в ор</w:t>
        <w:softHyphen/>
        <w:t>ганизм с пищей, водой и воздухом. Совсем небольшая часть этой дозы приходится на радиоактивные изотопы типа углерода-14 и трития, которые образуются под воздействием космической радиации, остальное поступает от источников земного происхож</w:t>
        <w:softHyphen/>
        <w:t>дения. Около 180 мкЗв/год человек получает за счет калия-40, который усваивается организмом вместе с нерадиоактивными изотопами калия, необходимыми для жизнедеятельности, значи</w:t>
        <w:softHyphen/>
        <w:t>тельно большую дозу внутреннего облучения человек получает от нуклидов радиоактивного ряда урана-238 и, в меньшей степени, от радионуклидов ряда тория-232.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Включение в состав организма радионуклидов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{инкорпора</w:t>
        <w:softHyphen/>
        <w:t>ция)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происходит в основном за счет их поступления с пищей, по</w:t>
        <w:softHyphen/>
        <w:t>этому интенсивность внутреннего облучения зависит от состава почв и характера питания населения. Тысячи людей на Крайнем Севере питаются мясом северного оленя (карибу), в котором в высокой концентрации содержатся изотопы свинца-206 и поло</w:t>
        <w:softHyphen/>
        <w:t>ния-210. Эти радионуклиды попадают в организм оленей зимой, когда они питаются в основном лишайниками (в которых на</w:t>
        <w:softHyphen/>
        <w:t>капливаются оба изотопа). Дозы внутреннего облучения челове</w:t>
        <w:softHyphen/>
        <w:t>ка от полония-210 в этих случаях могут в 35 раз превышать сред</w:t>
        <w:softHyphen/>
        <w:t>ний уровень. А в Западной Австралии, на почвах с повышенной концентрацией урана-238, облучение, обусловленное этим ра</w:t>
        <w:softHyphen/>
        <w:t>дионуклидом, в 75 раз превосходит средний уровень у абориге</w:t>
        <w:softHyphen/>
        <w:t>нов, питающихся мясом и требухой овец и кенгуру.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Прежде чем попасть в организм человека, радиоактивные ве</w:t>
        <w:softHyphen/>
        <w:t>щества, как и в рассмотренных выше случаях, проходят по слож</w:t>
        <w:softHyphen/>
        <w:t>ным маршрутам в окружающей среде, и это приходится учиты</w:t>
        <w:softHyphen/>
        <w:t>вать при оценке доз облучения, полученных от какого-либо ис</w:t>
        <w:softHyphen/>
        <w:t>точника. В качестве примера на рис. 6 представлена одна из схем возможного распространения радиоактивных веществ в окружа</w:t>
        <w:softHyphen/>
        <w:t>ющей среде и их попадания в организм человека.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  <w:sectPr>
          <w:footerReference w:type="default" r:id="rId58"/>
          <w:footerReference w:type="even" r:id="rId59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71" w:right="476" w:bottom="735" w:left="164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Наиболее весомым из всех естественных источников радиа</w:t>
        <w:softHyphen/>
        <w:t xml:space="preserve">ции является невидимый, не имеющий вкуса и запаха, тяжелый (в 7,5 раза тяжелее воздуха) газ радон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(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222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Rn, 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220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Rn),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эмиссия ко</w:t>
        <w:softHyphen/>
        <w:t>торого происходит из земной коры. Этот инертный газ высво</w:t>
        <w:softHyphen/>
        <w:t>бождается из почвы и строительных материалов, накапливаясь в закрытых непроветриваемых помещениях. Радон вместе со сво</w:t>
        <w:softHyphen/>
        <w:t>ими дочерними продуктами радиоактивного распада ответствен примерно за 1/2 индивидуальной годовой дозы облучения от всех естественных источников радиации. Большую часть этой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962400" cy="1261745"/>
            <wp:docPr id="82" name="Picutre 8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Picture 82"/>
                    <pic:cNvPicPr/>
                  </pic:nvPicPr>
                  <pic:blipFill>
                    <a:blip r:embed="rId60"/>
                    <a:stretch/>
                  </pic:blipFill>
                  <pic:spPr>
                    <a:xfrm>
                      <a:ext cx="3962400" cy="126174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8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624" w:right="0" w:firstLine="0"/>
        <w:jc w:val="lef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Рис.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6. Распространение радионуклидов в окружающей среде</w:t>
      </w:r>
    </w:p>
    <w:p>
      <w:pPr>
        <w:widowControl w:val="0"/>
        <w:spacing w:after="199" w:line="1" w:lineRule="exact"/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дозы человек получает от радионуклидов, попадающих в его ор</w:t>
        <w:softHyphen/>
        <w:t>ганизм вместе с вдыхаемым воздухом. Воздействуя на бронхиа</w:t>
        <w:softHyphen/>
        <w:t>льный эпителий а- и у-излучением, радон и радиоактивные про</w:t>
        <w:softHyphen/>
        <w:t>дукты его распада могут оказывать канцерогенный эффект. За</w:t>
        <w:softHyphen/>
        <w:t>долго до открытия радона вызываемое этим радионуклидом заболевание (позже идентифицированное как рак легких) на</w:t>
        <w:softHyphen/>
        <w:t xml:space="preserve">блюдал у работников плохо вентилируемых шахт Парацельс, в 1567 году описавший его в трактате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«Uber die Bergsucht und ande- re Bergkrankheiten».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конце 1970-х годов строения, внутри кото</w:t>
        <w:softHyphen/>
        <w:t>рых концентрация радона в 5000 раз превышала среднюю его концентрацию в наружном воздухе, были обнаружены в Шве</w:t>
        <w:softHyphen/>
        <w:t>ции и Финляндии.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Вклад в суммарную дозу облучения радионуклидов «косми</w:t>
        <w:softHyphen/>
        <w:t>ческого» происхождения, т. е. образующихся в земной атмосфе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ре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под влиянием космического излучения, существенно меньше. Содержание в тканях живого организма одного из них — углеро</w:t>
        <w:softHyphen/>
        <w:t>да-14 — отличается постоянством, но после смерти, вследствие радиоактивного распада, экспоненциально снижается, что испо</w:t>
        <w:softHyphen/>
        <w:t>льзуется для определения возраста палеонтологических находок (радиоуглеродный метод).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Однако дозы облучения, получаемые человеком от естест</w:t>
        <w:softHyphen/>
        <w:t xml:space="preserve">венных источников радиации, достаточно малы и составляют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фоновый уровень,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к которому организм адаптировался за время эволюции. Гораздо более высокими могут быть дозы, получае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мые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человеком от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искусственных источников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ионизирующих из</w:t>
        <w:softHyphen/>
        <w:t>лучений.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001" w:right="977" w:bottom="735" w:left="114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За последние десятилетия человек создал несколько сотен искусственных радионуклидов и научился использовать энер</w:t>
        <w:softHyphen/>
        <w:t>гию атома в самых разных целях: в медицине и для создания йдерного оружия, для производства электроэнергии и обнаруже-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ния пожаров, для изготовления светящихся циферблатов часов, приборов ночного видения и для поиска полезных ископаемых. К сожалению, все это приводит к увеличению дозы облучения как отдельных людей, так и населения Земли в целом. Индиви</w:t>
        <w:softHyphen/>
        <w:t>дуальные дозы, получаемые разными людьми от искусственных источников радиации, сильно различаются. В большинстве слу</w:t>
        <w:softHyphen/>
        <w:t>чаев эти дозы весьма невелики, но иногда облучение за счет тех</w:t>
        <w:softHyphen/>
        <w:t>ногенных источников оказывается намного больше, чем за счет естественной радиации.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Наибольший вклад в дозу, получаемую человеком от искус</w:t>
        <w:softHyphen/>
        <w:t xml:space="preserve">ственных источников радиации, вносят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медицинские процедуры и методы лечения, связанные с применением ионизирующих излуче</w:t>
        <w:softHyphen/>
        <w:t>ний.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Радиация в медицине используется как в диагностических целях, так и для лечения (лучевая терапия — один из основных способов борьбы с раком). В среднем при медицинских обследо</w:t>
        <w:softHyphen/>
        <w:t>ваниях на одного жителя Земли в год приходится доза облуче</w:t>
        <w:softHyphen/>
        <w:t>ния, эквивалентная 0,4 мЗв, однако нередко дозы, получаемые пациентами, оказываются существенно более высокими: при ле</w:t>
        <w:softHyphen/>
        <w:t>чении злокачественных новообразований они могут достигать 30 Зв и более (при местном облучении).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Другим техногенным источником радиационного фона явля</w:t>
        <w:softHyphen/>
        <w:t xml:space="preserve">ется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атомная энергетика,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которая включает добычу и обогащение урановой руды, производство ядерного топлива, эксплуатацию ядерных энергетических установок, регенерацию отработанного ядерного топлива, утилизацию и хранение радиоактивных отхо</w:t>
        <w:softHyphen/>
        <w:t>дов. На всех стадиях ядерно-энергетического цикла в окружаю</w:t>
        <w:softHyphen/>
        <w:t>щую среду могут поступать радионуклиды. При работе заводов по получению ядерного топлива в атмосферу выбрасываются радон-222, уран-238, торий-230, радий-226 и свинец-210. При переработке топлива на радиохимических заводах в выбросах присутствуют тритий, углерод-14, цезий-137, йод-139 и радиоак</w:t>
        <w:softHyphen/>
        <w:t>тивные изотопы трансурановых элементов. Однако доза облуче</w:t>
        <w:softHyphen/>
        <w:t>ния населения за счет всего топливного ядерного цикла неболь</w:t>
        <w:softHyphen/>
        <w:t>шая и составляет не более 0,05% фонового облучения от естест</w:t>
        <w:softHyphen/>
        <w:t>венных источников.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04" w:right="382" w:bottom="812" w:left="172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Значительно меньше по сравнению с влиянием естественно</w:t>
        <w:softHyphen/>
        <w:t xml:space="preserve">го фона и доза, получаемая от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радиоактивных выпадений в резуль</w:t>
        <w:softHyphen/>
        <w:t>тате испытаний ядерного оружия.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Высокодисперсные фракции продуктов ядерных взрывов поднимаются в верхние слои атмо</w:t>
        <w:softHyphen/>
        <w:t>сферы и годами и даже десятилетиями циркулируют там, рас</w:t>
        <w:softHyphen/>
        <w:t>пространяясь вначале над своим полушарием, а затем и над всей</w:t>
      </w:r>
    </w:p>
    <w:p>
      <w:pPr>
        <w:widowControl w:val="0"/>
        <w:spacing w:line="1" w:lineRule="exact"/>
      </w:pPr>
      <w:r>
        <w:drawing>
          <wp:anchor distT="133985" distB="0" distL="114300" distR="114300" simplePos="0" relativeHeight="125829380" behindDoc="0" locked="0" layoutInCell="1" allowOverlap="1">
            <wp:simplePos x="0" y="0"/>
            <wp:positionH relativeFrom="page">
              <wp:posOffset>522605</wp:posOffset>
            </wp:positionH>
            <wp:positionV relativeFrom="paragraph">
              <wp:posOffset>3855720</wp:posOffset>
            </wp:positionV>
            <wp:extent cx="2334895" cy="2145665"/>
            <wp:wrapSquare wrapText="right"/>
            <wp:docPr id="83" name="Shape 8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Picture box 84"/>
                    <pic:cNvPicPr/>
                  </pic:nvPicPr>
                  <pic:blipFill>
                    <a:blip r:embed="rId62"/>
                    <a:stretch/>
                  </pic:blipFill>
                  <pic:spPr>
                    <a:xfrm>
                      <a:ext cx="2334895" cy="2145665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503316482" behindDoc="0" locked="0" layoutInCell="1" allowOverlap="1">
                <wp:simplePos x="0" y="0"/>
                <wp:positionH relativeFrom="page">
                  <wp:posOffset>1232535</wp:posOffset>
                </wp:positionH>
                <wp:positionV relativeFrom="paragraph">
                  <wp:posOffset>3721735</wp:posOffset>
                </wp:positionV>
                <wp:extent cx="877570" cy="143510"/>
                <wp:wrapNone/>
                <wp:docPr id="85" name="Shape 85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877570" cy="14351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auto"/>
                                <w:lang w:val="ru-RU" w:eastAsia="ru-RU" w:bidi="ru-RU"/>
                              </w:rPr>
                              <w:t>0,06% 0,006%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11" type="#_x0000_t202" style="position:absolute;margin-left:97.049999999999997pt;margin-top:293.05000000000001pt;width:69.100000000000009pt;height:11.300000000000001pt;z-index:251657729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4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auto"/>
                          <w:lang w:val="ru-RU" w:eastAsia="ru-RU" w:bidi="ru-RU"/>
                        </w:rPr>
                        <w:t>0,06% 0,006%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территорией земного шара, и лишь постепенно выпадают на по</w:t>
        <w:softHyphen/>
        <w:t>верхность Земли. В период с 1954 по 1964 год, когда испытания проводились наиболее интенсивно, население Земли получило за счет глобальных выпадений дополнительно 2 мЗв (одна годо</w:t>
        <w:softHyphen/>
        <w:t>вая доза от естественного фона).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460" w:line="240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Самые большие дозы облучения от всех техногенных источ</w:t>
        <w:softHyphen/>
        <w:t xml:space="preserve">ников радиации получают люди,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профессионально связанные с ис</w:t>
        <w:softHyphen/>
        <w:t>точниками ионизирующих излучений.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Так, доза, которую получают рабочие урановых рудников и обогатительных фабрик, составля</w:t>
        <w:softHyphen/>
        <w:t>ет в среднем 1 чел.-Зв на каждый гигаватт-год электроэнергии, а для людей, работающих с ядерными реакторами, — до 10 чел.-Зв на гигаватт-год электроэнергии. Средняя эффективная доза, по</w:t>
        <w:softHyphen/>
        <w:t>лучаемая медицинским персоналом при снятии одной рентге</w:t>
        <w:softHyphen/>
        <w:t>нограммы, составляет от 1 до 4 мкЗв. Очень высокие дозы (более 300 мЗв в год, что в 6 раз выше международного стандарта, при</w:t>
        <w:softHyphen/>
        <w:t>нятого для работников атомной промышленности) получает персонал курортов, на которых применяются радоновые ванны и куда люди едут, чтобы поправить свое здоровье. Тем не менее все эти вредные производства добавляют к среднегодовой кол</w:t>
        <w:softHyphen/>
        <w:t>лективной эффективной дозе населения Земли менее 30 чел.-Зв на каждый гигаватт-год электроэнергии, что составляет пример</w:t>
        <w:softHyphen/>
        <w:t>но 0,03% дозы, получаемой людьми от естественных источников радиации (рис. 7).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300" w:line="254" w:lineRule="auto"/>
        <w:ind w:left="0" w:right="580" w:firstLine="0"/>
        <w:jc w:val="righ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БЗ Естественный радиационный фон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300" w:line="254" w:lineRule="auto"/>
        <w:ind w:left="0" w:right="880" w:firstLine="0"/>
        <w:jc w:val="righ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| Облучение в медицинских целях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£3 Испытания ядерного оружия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300" w:line="254" w:lineRule="auto"/>
        <w:ind w:left="0" w:right="880" w:firstLine="0"/>
        <w:jc w:val="righ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 Профессиональное облучение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300" w:line="240" w:lineRule="auto"/>
        <w:ind w:left="0" w:right="0" w:firstLine="2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§ Атомная энергетика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300" w:line="276" w:lineRule="auto"/>
        <w:ind w:left="0" w:right="0" w:firstLine="0"/>
        <w:jc w:val="center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14" w:right="1342" w:bottom="758" w:left="790" w:header="0" w:footer="3" w:gutter="0"/>
          <w:cols w:space="720"/>
          <w:noEndnote/>
          <w:rtlGutter w:val="0"/>
          <w:docGrid w:linePitch="360"/>
        </w:sectPr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Рис.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7. Источники облучения населения: относительные доли</w:t>
        <w:br/>
        <w:t>в средних эффективных индивидуальных дозах облучения</w:t>
      </w:r>
    </w:p>
    <w:p>
      <w:pPr>
        <w:pStyle w:val="Style8"/>
        <w:keepNext w:val="0"/>
        <w:keepLines w:val="0"/>
        <w:widowControl w:val="0"/>
        <w:shd w:val="clear" w:color="auto" w:fill="auto"/>
        <w:tabs>
          <w:tab w:pos="6103" w:val="left"/>
        </w:tabs>
        <w:bidi w:val="0"/>
        <w:spacing w:before="0" w:after="120" w:line="240" w:lineRule="auto"/>
        <w:ind w:left="0" w:right="0" w:firstLine="0"/>
        <w:jc w:val="both"/>
        <w:rPr>
          <w:sz w:val="22"/>
          <w:szCs w:val="22"/>
        </w:rPr>
      </w:pPr>
      <w:r>
        <w:rPr>
          <w:b/>
          <w:bCs/>
          <w:spacing w:val="0"/>
          <w:w w:val="100"/>
          <w:position w:val="0"/>
          <w:sz w:val="19"/>
          <w:szCs w:val="19"/>
          <w:shd w:val="clear" w:color="auto" w:fill="auto"/>
          <w:lang w:val="ru-RU" w:eastAsia="ru-RU" w:bidi="ru-RU"/>
        </w:rPr>
        <w:t>Литература для самоподготовки</w:t>
        <w:tab/>
      </w:r>
      <w:r>
        <w:rPr>
          <w:rFonts w:ascii="Times New Roman" w:eastAsia="Times New Roman" w:hAnsi="Times New Roman" w:cs="Times New Roman"/>
          <w:color w:val="8A8A8A"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I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62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Основная: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 w:line="262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Военная токсикология, радиобиология и медицинская защита: Учебник / Под ред.</w:t>
      </w:r>
    </w:p>
    <w:p>
      <w:pPr>
        <w:pStyle w:val="Style15"/>
        <w:keepNext w:val="0"/>
        <w:keepLines w:val="0"/>
        <w:widowControl w:val="0"/>
        <w:shd w:val="clear" w:color="auto" w:fill="auto"/>
        <w:tabs>
          <w:tab w:pos="6103" w:val="left"/>
        </w:tabs>
        <w:bidi w:val="0"/>
        <w:spacing w:before="0" w:after="40" w:line="262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С. А. Куценко. — СПб: Фолиант, 2004. — С. 339-357.</w:t>
        <w:tab/>
      </w:r>
      <w:r>
        <w:rPr>
          <w:color w:val="8A8A8A"/>
          <w:spacing w:val="0"/>
          <w:w w:val="100"/>
          <w:position w:val="0"/>
          <w:shd w:val="clear" w:color="auto" w:fill="auto"/>
          <w:lang w:val="ru-RU" w:eastAsia="ru-RU" w:bidi="ru-RU"/>
        </w:rPr>
        <w:t>I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54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Практикум по токсикологии и медицинской защите: Учебное пособие / Под ред. А. Н. Гребенюка. — СПб: Фолиант, 2010. — С. 116-128.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20" w:line="257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Тестовые задания по военной токсикологии, радиобиологии и медицинской защите: Учебное пособие / Под ред. С. А. Куценко. — СПб: Фолиант, 2005. — С.103-126.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62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Дополнительная: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62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Основы медицинской радиобиологии / Под ред. И. Б. Ушакова. — СПб: Фолиант, 2004. — С. 7-30, 312-353.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54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Радиобиология человека и животных: Учебное пособие / Под ред. С. П. Ярмонен- ко. — М.: Высшая школа, 2004. — С. 7-49.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62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Радиация и патология: Учебное пособие / Под ред. А. Ф. Цыба. — М.: Высшая шко</w:t>
        <w:softHyphen/>
        <w:t>ла, 2005.— С. 4-125.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62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Радиационная биофизика (ионизирующие излучения): Учебник / Ю. Б. Кудряшов. — М.: Физматлит, 2004. — 448 с.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62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Радиационная экология: Учебное пособие/В. Д. Старков, В. И. Мигунов. —Тюмень: ИПП «Тюмень», 2003. — 304 с.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60" w:line="262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Радиобиология неионизирующих и ионизирующих излучений / В. О. Самойлов, В. Г. Владимиров, Л. А. Шарова. — СПб: ИнформМед, 2010. — 208 с.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28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Вопросы для самоконтроля</w:t>
      </w:r>
    </w:p>
    <w:p>
      <w:pPr>
        <w:pStyle w:val="Style34"/>
        <w:keepNext w:val="0"/>
        <w:keepLines w:val="0"/>
        <w:widowControl w:val="0"/>
        <w:numPr>
          <w:ilvl w:val="0"/>
          <w:numId w:val="25"/>
        </w:numPr>
        <w:shd w:val="clear" w:color="auto" w:fill="auto"/>
        <w:tabs>
          <w:tab w:pos="288" w:val="left"/>
        </w:tabs>
        <w:bidi w:val="0"/>
        <w:spacing w:before="0" w:after="4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Дайте определение понятию «радиобиология».</w:t>
      </w:r>
    </w:p>
    <w:p>
      <w:pPr>
        <w:pStyle w:val="Style34"/>
        <w:keepNext w:val="0"/>
        <w:keepLines w:val="0"/>
        <w:widowControl w:val="0"/>
        <w:numPr>
          <w:ilvl w:val="0"/>
          <w:numId w:val="25"/>
        </w:numPr>
        <w:shd w:val="clear" w:color="auto" w:fill="auto"/>
        <w:tabs>
          <w:tab w:pos="303" w:val="left"/>
        </w:tabs>
        <w:bidi w:val="0"/>
        <w:spacing w:before="0" w:after="40" w:line="233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Каковы цели и задачи радиобиологии как науки и учебной дисциплины?</w:t>
      </w:r>
    </w:p>
    <w:p>
      <w:pPr>
        <w:pStyle w:val="Style34"/>
        <w:keepNext w:val="0"/>
        <w:keepLines w:val="0"/>
        <w:widowControl w:val="0"/>
        <w:numPr>
          <w:ilvl w:val="0"/>
          <w:numId w:val="25"/>
        </w:numPr>
        <w:shd w:val="clear" w:color="auto" w:fill="auto"/>
        <w:tabs>
          <w:tab w:pos="308" w:val="left"/>
        </w:tabs>
        <w:bidi w:val="0"/>
        <w:spacing w:before="0" w:after="40" w:line="233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основные разделы выделяют у радиобиологии? В чем состоит практическое значение этой науки?</w:t>
      </w:r>
    </w:p>
    <w:p>
      <w:pPr>
        <w:pStyle w:val="Style34"/>
        <w:keepNext w:val="0"/>
        <w:keepLines w:val="0"/>
        <w:widowControl w:val="0"/>
        <w:numPr>
          <w:ilvl w:val="0"/>
          <w:numId w:val="25"/>
        </w:numPr>
        <w:shd w:val="clear" w:color="auto" w:fill="auto"/>
        <w:tabs>
          <w:tab w:pos="308" w:val="left"/>
        </w:tabs>
        <w:bidi w:val="0"/>
        <w:spacing w:before="0" w:after="40" w:line="228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Дайте определение понятию «ионизирующее излучение». Что такое радиоактивность, в каких единицах она измеряется?</w:t>
      </w:r>
    </w:p>
    <w:p>
      <w:pPr>
        <w:pStyle w:val="Style34"/>
        <w:keepNext w:val="0"/>
        <w:keepLines w:val="0"/>
        <w:widowControl w:val="0"/>
        <w:numPr>
          <w:ilvl w:val="0"/>
          <w:numId w:val="25"/>
        </w:numPr>
        <w:shd w:val="clear" w:color="auto" w:fill="auto"/>
        <w:tabs>
          <w:tab w:pos="303" w:val="left"/>
        </w:tabs>
        <w:bidi w:val="0"/>
        <w:spacing w:before="0" w:after="40" w:line="228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 какие типы и виды можно классифицировать ионизирую</w:t>
        <w:softHyphen/>
        <w:t>щие излучения? Какими свойствами они обладают?</w:t>
      </w:r>
    </w:p>
    <w:p>
      <w:pPr>
        <w:pStyle w:val="Style34"/>
        <w:keepNext w:val="0"/>
        <w:keepLines w:val="0"/>
        <w:widowControl w:val="0"/>
        <w:numPr>
          <w:ilvl w:val="0"/>
          <w:numId w:val="25"/>
        </w:numPr>
        <w:shd w:val="clear" w:color="auto" w:fill="auto"/>
        <w:tabs>
          <w:tab w:pos="298" w:val="left"/>
        </w:tabs>
        <w:bidi w:val="0"/>
        <w:spacing w:before="0" w:after="40" w:line="230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Дайте определение понятию «экспозиционная доза». Назови</w:t>
        <w:softHyphen/>
        <w:t>те единицы ее измерения. Каков физический смысл экспози</w:t>
        <w:softHyphen/>
        <w:t>ционной дозы?</w:t>
      </w:r>
    </w:p>
    <w:p>
      <w:pPr>
        <w:pStyle w:val="Style34"/>
        <w:keepNext w:val="0"/>
        <w:keepLines w:val="0"/>
        <w:widowControl w:val="0"/>
        <w:numPr>
          <w:ilvl w:val="0"/>
          <w:numId w:val="25"/>
        </w:numPr>
        <w:shd w:val="clear" w:color="auto" w:fill="auto"/>
        <w:tabs>
          <w:tab w:pos="303" w:val="left"/>
        </w:tabs>
        <w:bidi w:val="0"/>
        <w:spacing w:before="0" w:after="40" w:line="228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Что такое поглощенная доза? Назовите единицы измерения поглощенной дозы.</w:t>
      </w:r>
    </w:p>
    <w:p>
      <w:pPr>
        <w:pStyle w:val="Style34"/>
        <w:keepNext w:val="0"/>
        <w:keepLines w:val="0"/>
        <w:widowControl w:val="0"/>
        <w:numPr>
          <w:ilvl w:val="0"/>
          <w:numId w:val="25"/>
        </w:numPr>
        <w:shd w:val="clear" w:color="auto" w:fill="auto"/>
        <w:tabs>
          <w:tab w:pos="303" w:val="left"/>
        </w:tabs>
        <w:bidi w:val="0"/>
        <w:spacing w:before="0" w:after="40" w:line="228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Дайте определение понятию «эффективная доза облучения». Какова методика ее расчета?</w:t>
      </w:r>
    </w:p>
    <w:p>
      <w:pPr>
        <w:pStyle w:val="Style34"/>
        <w:keepNext w:val="0"/>
        <w:keepLines w:val="0"/>
        <w:widowControl w:val="0"/>
        <w:numPr>
          <w:ilvl w:val="0"/>
          <w:numId w:val="25"/>
        </w:numPr>
        <w:shd w:val="clear" w:color="auto" w:fill="auto"/>
        <w:tabs>
          <w:tab w:pos="303" w:val="left"/>
        </w:tabs>
        <w:bidi w:val="0"/>
        <w:spacing w:before="0" w:after="40" w:line="228" w:lineRule="auto"/>
        <w:ind w:left="260" w:right="0" w:hanging="26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79" w:right="500" w:bottom="703" w:left="161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Что такое мощность дозы излучения? В каких единицах изме</w:t>
        <w:softHyphen/>
        <w:t>ряется мощность экспозиционной дозы?</w:t>
      </w:r>
    </w:p>
    <w:p>
      <w:pPr>
        <w:pStyle w:val="Style34"/>
        <w:keepNext w:val="0"/>
        <w:keepLines w:val="0"/>
        <w:widowControl w:val="0"/>
        <w:numPr>
          <w:ilvl w:val="0"/>
          <w:numId w:val="25"/>
        </w:numPr>
        <w:shd w:val="clear" w:color="auto" w:fill="auto"/>
        <w:tabs>
          <w:tab w:pos="366" w:val="left"/>
        </w:tabs>
        <w:bidi w:val="0"/>
        <w:spacing w:before="0" w:after="0" w:line="228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 можно охарактеризовать излучения в зависимости от мощности дозы и времени действия ионизирующего излуче</w:t>
        <w:softHyphen/>
        <w:t>ния?</w:t>
      </w:r>
    </w:p>
    <w:p>
      <w:pPr>
        <w:pStyle w:val="Style34"/>
        <w:keepNext w:val="0"/>
        <w:keepLines w:val="0"/>
        <w:widowControl w:val="0"/>
        <w:numPr>
          <w:ilvl w:val="0"/>
          <w:numId w:val="25"/>
        </w:numPr>
        <w:shd w:val="clear" w:color="auto" w:fill="auto"/>
        <w:tabs>
          <w:tab w:pos="366" w:val="left"/>
        </w:tabs>
        <w:bidi w:val="0"/>
        <w:spacing w:before="0" w:after="0" w:line="228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Назовите источники естественного радиационного фона Земли. Каков их вклад в суммарную годовую дозу облучения людей?</w:t>
      </w:r>
    </w:p>
    <w:p>
      <w:pPr>
        <w:pStyle w:val="Style34"/>
        <w:keepNext w:val="0"/>
        <w:keepLines w:val="0"/>
        <w:widowControl w:val="0"/>
        <w:numPr>
          <w:ilvl w:val="0"/>
          <w:numId w:val="25"/>
        </w:numPr>
        <w:shd w:val="clear" w:color="auto" w:fill="auto"/>
        <w:tabs>
          <w:tab w:pos="366" w:val="left"/>
        </w:tabs>
        <w:bidi w:val="0"/>
        <w:spacing w:before="0" w:after="0" w:line="228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Каков фоновый уровень радиации от естественных источни</w:t>
        <w:softHyphen/>
        <w:t>ков у поверхности Земли? Везде ли этот уровень одинаков?</w:t>
      </w:r>
    </w:p>
    <w:p>
      <w:pPr>
        <w:pStyle w:val="Style34"/>
        <w:keepNext w:val="0"/>
        <w:keepLines w:val="0"/>
        <w:widowControl w:val="0"/>
        <w:numPr>
          <w:ilvl w:val="0"/>
          <w:numId w:val="25"/>
        </w:numPr>
        <w:shd w:val="clear" w:color="auto" w:fill="auto"/>
        <w:tabs>
          <w:tab w:pos="366" w:val="left"/>
        </w:tabs>
        <w:bidi w:val="0"/>
        <w:spacing w:before="0" w:after="0" w:line="228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источники радиации можно отнести к искусствен</w:t>
        <w:softHyphen/>
        <w:t>ным?</w:t>
      </w:r>
    </w:p>
    <w:p>
      <w:pPr>
        <w:pStyle w:val="Style34"/>
        <w:keepNext w:val="0"/>
        <w:keepLines w:val="0"/>
        <w:widowControl w:val="0"/>
        <w:numPr>
          <w:ilvl w:val="0"/>
          <w:numId w:val="25"/>
        </w:numPr>
        <w:shd w:val="clear" w:color="auto" w:fill="auto"/>
        <w:tabs>
          <w:tab w:pos="366" w:val="left"/>
        </w:tabs>
        <w:bidi w:val="0"/>
        <w:spacing w:before="0" w:after="0" w:line="228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Перечислите основные источники радиационного загрязне</w:t>
        <w:softHyphen/>
        <w:t>ния окружающей среды.</w:t>
      </w:r>
    </w:p>
    <w:p>
      <w:pPr>
        <w:pStyle w:val="Style34"/>
        <w:keepNext w:val="0"/>
        <w:keepLines w:val="0"/>
        <w:widowControl w:val="0"/>
        <w:numPr>
          <w:ilvl w:val="0"/>
          <w:numId w:val="25"/>
        </w:numPr>
        <w:shd w:val="clear" w:color="auto" w:fill="auto"/>
        <w:tabs>
          <w:tab w:pos="366" w:val="left"/>
        </w:tabs>
        <w:bidi w:val="0"/>
        <w:spacing w:before="0" w:after="0" w:line="228" w:lineRule="auto"/>
        <w:ind w:left="360" w:right="0" w:hanging="360"/>
        <w:jc w:val="both"/>
        <w:sectPr>
          <w:footerReference w:type="default" r:id="rId64"/>
          <w:footerReference w:type="even" r:id="rId65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215" w:right="1101" w:bottom="1215" w:left="1015" w:header="787" w:footer="787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дозы облучения люди получают от естественных и ис</w:t>
        <w:softHyphen/>
        <w:t>кусственных источников радиации в обычной жизни?</w:t>
      </w:r>
    </w:p>
    <w:p>
      <w:pPr>
        <w:pStyle w:val="Style36"/>
        <w:keepNext/>
        <w:keepLines/>
        <w:widowControl w:val="0"/>
        <w:shd w:val="clear" w:color="auto" w:fill="auto"/>
        <w:bidi w:val="0"/>
        <w:spacing w:before="0" w:after="180" w:line="276" w:lineRule="auto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  <w:shd w:val="clear" w:color="auto" w:fill="auto"/>
          <w:lang w:val="ru-RU" w:eastAsia="ru-RU" w:bidi="ru-RU"/>
        </w:rPr>
        <w:t>Глава 2</w:t>
      </w:r>
    </w:p>
    <w:p>
      <w:pPr>
        <w:pStyle w:val="Style39"/>
        <w:keepNext/>
        <w:keepLines/>
        <w:widowControl w:val="0"/>
        <w:shd w:val="clear" w:color="auto" w:fill="auto"/>
        <w:bidi w:val="0"/>
        <w:spacing w:before="0" w:after="700" w:line="276" w:lineRule="auto"/>
        <w:ind w:left="0" w:right="0" w:firstLine="0"/>
        <w:jc w:val="center"/>
      </w:pPr>
      <w:bookmarkStart w:id="19" w:name="bookmark19"/>
      <w:bookmarkStart w:id="20" w:name="bookmark20"/>
      <w:r>
        <w:rPr>
          <w:spacing w:val="0"/>
          <w:w w:val="100"/>
          <w:position w:val="0"/>
          <w:sz w:val="24"/>
          <w:szCs w:val="24"/>
          <w:shd w:val="clear" w:color="auto" w:fill="auto"/>
          <w:lang w:val="ru-RU" w:eastAsia="ru-RU" w:bidi="ru-RU"/>
        </w:rPr>
        <w:t>ОСНОВЫ БИОЛОГИЧЕСКОГО ДЕЙСТВИЯ</w:t>
        <w:br/>
        <w:t>ИОНИЗИРУЮЩИХ ИЗЛУЧЕНИЙ</w:t>
      </w:r>
      <w:bookmarkEnd w:id="20"/>
      <w:bookmarkEnd w:id="19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00" w:line="230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Учебные вопросы</w:t>
      </w:r>
    </w:p>
    <w:p>
      <w:pPr>
        <w:pStyle w:val="Style34"/>
        <w:keepNext w:val="0"/>
        <w:keepLines w:val="0"/>
        <w:widowControl w:val="0"/>
        <w:numPr>
          <w:ilvl w:val="0"/>
          <w:numId w:val="27"/>
        </w:numPr>
        <w:shd w:val="clear" w:color="auto" w:fill="auto"/>
        <w:tabs>
          <w:tab w:pos="312" w:val="left"/>
        </w:tabs>
        <w:bidi w:val="0"/>
        <w:spacing w:before="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Физическая, физико-химическая, химическая и биологиче</w:t>
        <w:softHyphen/>
        <w:t>ская стадии в действии ионизирующих излучений.</w:t>
      </w:r>
    </w:p>
    <w:p>
      <w:pPr>
        <w:pStyle w:val="Style34"/>
        <w:keepNext w:val="0"/>
        <w:keepLines w:val="0"/>
        <w:widowControl w:val="0"/>
        <w:numPr>
          <w:ilvl w:val="0"/>
          <w:numId w:val="27"/>
        </w:numPr>
        <w:shd w:val="clear" w:color="auto" w:fill="auto"/>
        <w:tabs>
          <w:tab w:pos="326" w:val="left"/>
        </w:tabs>
        <w:bidi w:val="0"/>
        <w:spacing w:before="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Молекулярные механизмы лучевого повреждения биосистем. Биологическое усиление радиационного поражения.</w:t>
      </w:r>
    </w:p>
    <w:p>
      <w:pPr>
        <w:pStyle w:val="Style34"/>
        <w:keepNext w:val="0"/>
        <w:keepLines w:val="0"/>
        <w:widowControl w:val="0"/>
        <w:numPr>
          <w:ilvl w:val="0"/>
          <w:numId w:val="27"/>
        </w:numPr>
        <w:shd w:val="clear" w:color="auto" w:fill="auto"/>
        <w:tabs>
          <w:tab w:pos="326" w:val="left"/>
        </w:tabs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Реакции клеток на облучение. Формы лучевой гибели клеток.</w:t>
      </w:r>
    </w:p>
    <w:p>
      <w:pPr>
        <w:pStyle w:val="Style34"/>
        <w:keepNext w:val="0"/>
        <w:keepLines w:val="0"/>
        <w:widowControl w:val="0"/>
        <w:numPr>
          <w:ilvl w:val="0"/>
          <w:numId w:val="27"/>
        </w:numPr>
        <w:shd w:val="clear" w:color="auto" w:fill="auto"/>
        <w:tabs>
          <w:tab w:pos="326" w:val="left"/>
        </w:tabs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Действие излучений на ткани, органы и системы организма.</w:t>
      </w:r>
    </w:p>
    <w:p>
      <w:pPr>
        <w:pStyle w:val="Style34"/>
        <w:keepNext w:val="0"/>
        <w:keepLines w:val="0"/>
        <w:widowControl w:val="0"/>
        <w:numPr>
          <w:ilvl w:val="0"/>
          <w:numId w:val="27"/>
        </w:numPr>
        <w:shd w:val="clear" w:color="auto" w:fill="auto"/>
        <w:tabs>
          <w:tab w:pos="321" w:val="left"/>
        </w:tabs>
        <w:bidi w:val="0"/>
        <w:spacing w:before="0" w:after="18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Радиобиологические эффекты. Классификация радиобиоло</w:t>
        <w:softHyphen/>
        <w:t>гических эффектов. Значение радиобиологических эффектов для судьбы облученного организма.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00" w:line="230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Базисные знания</w:t>
      </w:r>
    </w:p>
    <w:p>
      <w:pPr>
        <w:pStyle w:val="Style34"/>
        <w:keepNext w:val="0"/>
        <w:keepLines w:val="0"/>
        <w:widowControl w:val="0"/>
        <w:numPr>
          <w:ilvl w:val="0"/>
          <w:numId w:val="29"/>
        </w:numPr>
        <w:shd w:val="clear" w:color="auto" w:fill="auto"/>
        <w:tabs>
          <w:tab w:pos="312" w:val="left"/>
        </w:tabs>
        <w:bidi w:val="0"/>
        <w:spacing w:before="0" w:after="0" w:line="230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Свободные радикалы. Механизмы их генерации и химическая активность. Свободно-радикальные процессы в биологиче</w:t>
        <w:softHyphen/>
        <w:t>ских системах.</w:t>
      </w:r>
    </w:p>
    <w:p>
      <w:pPr>
        <w:pStyle w:val="Style34"/>
        <w:keepNext w:val="0"/>
        <w:keepLines w:val="0"/>
        <w:widowControl w:val="0"/>
        <w:numPr>
          <w:ilvl w:val="0"/>
          <w:numId w:val="29"/>
        </w:numPr>
        <w:shd w:val="clear" w:color="auto" w:fill="auto"/>
        <w:tabs>
          <w:tab w:pos="326" w:val="left"/>
        </w:tabs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Современные представления о структуре клеток.</w:t>
      </w:r>
    </w:p>
    <w:p>
      <w:pPr>
        <w:pStyle w:val="Style34"/>
        <w:keepNext w:val="0"/>
        <w:keepLines w:val="0"/>
        <w:widowControl w:val="0"/>
        <w:numPr>
          <w:ilvl w:val="0"/>
          <w:numId w:val="29"/>
        </w:numPr>
        <w:shd w:val="clear" w:color="auto" w:fill="auto"/>
        <w:tabs>
          <w:tab w:pos="326" w:val="left"/>
        </w:tabs>
        <w:bidi w:val="0"/>
        <w:spacing w:before="0" w:after="0" w:line="230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Структура ДНК и комплексов, в состав которых она входит. Роль ДНК в процессе клеточного деления.</w:t>
      </w:r>
    </w:p>
    <w:p>
      <w:pPr>
        <w:pStyle w:val="Style34"/>
        <w:keepNext w:val="0"/>
        <w:keepLines w:val="0"/>
        <w:widowControl w:val="0"/>
        <w:numPr>
          <w:ilvl w:val="0"/>
          <w:numId w:val="29"/>
        </w:numPr>
        <w:shd w:val="clear" w:color="auto" w:fill="auto"/>
        <w:tabs>
          <w:tab w:pos="326" w:val="left"/>
        </w:tabs>
        <w:bidi w:val="0"/>
        <w:spacing w:before="0" w:after="0" w:line="230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Структура клеточных мембран. Роль цитоплазматической мем</w:t>
        <w:softHyphen/>
        <w:t>браны и внутриклеточных мембран в жизнедеятельности кле</w:t>
        <w:softHyphen/>
        <w:t>ток.</w:t>
      </w:r>
    </w:p>
    <w:p>
      <w:pPr>
        <w:pStyle w:val="Style34"/>
        <w:keepNext w:val="0"/>
        <w:keepLines w:val="0"/>
        <w:widowControl w:val="0"/>
        <w:numPr>
          <w:ilvl w:val="0"/>
          <w:numId w:val="29"/>
        </w:numPr>
        <w:shd w:val="clear" w:color="auto" w:fill="auto"/>
        <w:tabs>
          <w:tab w:pos="326" w:val="left"/>
        </w:tabs>
        <w:bidi w:val="0"/>
        <w:spacing w:before="0" w:after="500" w:line="230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Современные представления о гемопоэзе. Стволовые крове</w:t>
        <w:softHyphen/>
        <w:t>творные клетки, их роль в процессе кроветворения.</w:t>
      </w:r>
    </w:p>
    <w:p>
      <w:pPr>
        <w:pStyle w:val="Style44"/>
        <w:keepNext/>
        <w:keepLines/>
        <w:widowControl w:val="0"/>
        <w:shd w:val="clear" w:color="auto" w:fill="auto"/>
        <w:bidi w:val="0"/>
        <w:spacing w:before="0" w:after="180" w:line="276" w:lineRule="auto"/>
        <w:ind w:left="0" w:right="0" w:firstLine="0"/>
        <w:jc w:val="center"/>
      </w:pPr>
      <w:bookmarkStart w:id="22" w:name="bookmark22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2.1. ОСНОВНЫЕ СТАДИИ ДЕЙСТВИЯ</w:t>
        <w:br/>
        <w:t>ИОНИЗИРУЮЩИХ ИЗЛУЧЕНИЙ</w:t>
      </w:r>
      <w:bookmarkEnd w:id="22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40" w:line="228" w:lineRule="auto"/>
        <w:ind w:left="0" w:right="0" w:firstLine="0"/>
        <w:jc w:val="both"/>
        <w:sectPr>
          <w:footerReference w:type="default" r:id="rId66"/>
          <w:footerReference w:type="even" r:id="rId67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57" w:right="333" w:bottom="957" w:left="1802" w:header="529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развитии поражения после воздействия ионизирующих излу</w:t>
        <w:softHyphen/>
        <w:t>чений выделяют несколько стадий: физическую, физико-хими</w:t>
        <w:softHyphen/>
        <w:t>ческую, химическую и биологическую (табл. 2). Первые три из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60" w:line="226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них оцениваются как первичные или добиологические. Они в шачительной степени являются общими как для живых орга</w:t>
        <w:softHyphen/>
        <w:t>низмов, так и для химических соединений, их растворов, смесей.</w:t>
      </w:r>
    </w:p>
    <w:p>
      <w:pPr>
        <w:pStyle w:val="Style71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right"/>
        <w:rPr>
          <w:sz w:val="15"/>
          <w:szCs w:val="15"/>
        </w:rPr>
      </w:pPr>
      <w:r>
        <w:rPr>
          <w:b w:val="0"/>
          <w:bCs w:val="0"/>
          <w:i/>
          <w:iCs/>
          <w:spacing w:val="0"/>
          <w:w w:val="100"/>
          <w:position w:val="0"/>
          <w:sz w:val="15"/>
          <w:szCs w:val="15"/>
          <w:shd w:val="clear" w:color="auto" w:fill="auto"/>
          <w:lang w:val="ru-RU" w:eastAsia="ru-RU" w:bidi="ru-RU"/>
        </w:rPr>
        <w:t>Таблица 2</w:t>
      </w:r>
    </w:p>
    <w:p>
      <w:pPr>
        <w:pStyle w:val="Style71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Основные стадии в действии ионизирующих излучений на биологические системы</w:t>
      </w:r>
    </w:p>
    <w:tbl>
      <w:tblPr>
        <w:tblOverlap w:val="never"/>
        <w:jc w:val="center"/>
        <w:tblLayout w:type="fixed"/>
      </w:tblPr>
      <w:tblGrid>
        <w:gridCol w:w="1243"/>
        <w:gridCol w:w="3600"/>
        <w:gridCol w:w="1406"/>
      </w:tblGrid>
      <w:tr>
        <w:trPr>
          <w:trHeight w:val="466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Стадия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Процессы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Продолжи</w:t>
              <w:softHyphen/>
              <w:t>тельность</w:t>
            </w:r>
          </w:p>
        </w:tc>
      </w:tr>
      <w:tr>
        <w:trPr>
          <w:trHeight w:val="638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Физическая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1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Поглощение энергии излучения; образование ионизированных и возбужденных атомов и молекул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ю~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16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 — 10-’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5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 с</w:t>
            </w:r>
          </w:p>
        </w:tc>
      </w:tr>
      <w:tr>
        <w:trPr>
          <w:trHeight w:val="643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2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Физико</w:t>
              <w:softHyphen/>
              <w:t>химическая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Перераспределение поглощенной энергии внутри молекул и между ними, образование свободных радикалов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10-1“ — 10-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11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 с</w:t>
            </w:r>
          </w:p>
        </w:tc>
      </w:tr>
      <w:tr>
        <w:trPr>
          <w:trHeight w:val="1022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Химическая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Реакции между свободными радикалами и между ними и интактными молекулами. Образование широкого спектра молекул с измененными структурой и функциональными свойствами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-6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 — 10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-3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 с</w:t>
            </w:r>
          </w:p>
        </w:tc>
      </w:tr>
      <w:tr>
        <w:trPr>
          <w:trHeight w:val="1056" w:hRule="exact"/>
        </w:trPr>
        <w:tc>
          <w:tcPr>
            <w:tcBorders>
              <w:top w:val="single" w:sz="4"/>
              <w:left w:val="single" w:sz="4"/>
              <w:bottom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Биологическая</w:t>
            </w:r>
          </w:p>
        </w:tc>
        <w:tc>
          <w:tcPr>
            <w:tcBorders>
              <w:top w:val="single" w:sz="4"/>
              <w:left w:val="single" w:sz="4"/>
              <w:bottom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Последовательное развитие поражения на всех уровнях биологической организации — от субклеточного до организменного; развитие процессов биологического усиления и репарационных процессов</w:t>
            </w:r>
          </w:p>
        </w:tc>
        <w:tc>
          <w:tcPr>
            <w:tcBorders>
              <w:top w:val="single" w:sz="4"/>
              <w:left w:val="single" w:sz="4"/>
              <w:bottom w:val="single" w:sz="4"/>
              <w:righ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Секунды — годы</w:t>
            </w:r>
          </w:p>
        </w:tc>
      </w:tr>
    </w:tbl>
    <w:p>
      <w:pPr>
        <w:widowControl w:val="0"/>
        <w:spacing w:after="159" w:line="1" w:lineRule="exact"/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На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физической стадии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образуются возбужденные и ионизиро</w:t>
        <w:softHyphen/>
        <w:t>ванные атомы и молекулы, случайным образом распределенные и неществе, поскольку вероятность поглощения энергии тем или иным атомом, из которых построены биологические молекулы, практически одинакова. Количество энергии, поглощенной мо</w:t>
        <w:softHyphen/>
        <w:t>лекулами каждого типа, примерно пропорционально их относи</w:t>
        <w:softHyphen/>
        <w:t>тельной массе. Соответственно, в живых клетках органическими и неорганическими (кроме воды) молекулами поглощается око</w:t>
        <w:softHyphen/>
        <w:t>ло 25% энергии, а водой приблизительно 75%.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60" w:line="228" w:lineRule="auto"/>
        <w:ind w:left="0" w:right="0"/>
        <w:jc w:val="both"/>
        <w:sectPr>
          <w:footerReference w:type="default" r:id="rId68"/>
          <w:footerReference w:type="even" r:id="rId69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74" w:right="934" w:bottom="974" w:left="1193" w:header="546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На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физико-химической стадии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поглощенная энергия мигри</w:t>
        <w:softHyphen/>
        <w:t>рует по макромолекулярным структурам и распределяется между отдельными биомолекулами, что сопровождается разрывами хи</w:t>
        <w:softHyphen/>
        <w:t>мических связей там, где эти связи менее прочны. Поэтому, хотя ни физической стадии поглощение энергии различными молеку</w:t>
        <w:softHyphen/>
        <w:t>лярными структурами было не избирательным, по окончании физико-химической стадии разрывы связей обнаруживаются преимущественно в определенных структурах. В белковых моле-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кулах — это аминокислоты, содержащие спаренные арильные радикалы (например, триптофан), а также тиоловые и дисуль</w:t>
        <w:softHyphen/>
        <w:t>фидные группировки; в нуклеиновых кислотах — это азотистые (в первую очередь, пиримидиновые) основания.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 следующем этапе разрывы химических связей приводят к образованию свободных радикалов, отличающихся очень высо</w:t>
        <w:softHyphen/>
        <w:t>кой химической активностью. В связи с тем что в живых систе</w:t>
        <w:softHyphen/>
        <w:t>мах около 75% энергии излучения поглощается водой, на физи</w:t>
        <w:softHyphen/>
        <w:t>ко-химической стадии образуются многочисленные продукты радиолиза воды: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О +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hv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-&gt; 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О* -» Н' + НО’;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О +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hv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-&gt; 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+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+ е";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 + е" -&gt; е’гидр. -&gt; Н' + НО";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 + е" -&gt; 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О* -&gt; Н' + ОН';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 -&gt; Н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+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+ ОН';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е" + Н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+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-&gt; Н';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+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+ ОН" -&gt; 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 + ОН';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+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+ 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 -&gt; 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3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+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+ ОН';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3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+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+ е~ -&gt; 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 + Н'.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частности, при ионизации воды образуются ион НгО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4-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электрон (е~), который после замедления при прохождении через вещество либо рекомбинирует с образованием воды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(е~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+ НгО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 xml:space="preserve">4-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-&gt; Н2О), либо образует отрицательно заряженный ион Н2О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 xml:space="preserve">-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(Н2О +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е~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-&gt; 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-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). Ионы 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+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 неустойчивы и разлага</w:t>
        <w:softHyphen/>
        <w:t>ются, образуя стабильные ионы Н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+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ОН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-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, которые могут ре</w:t>
        <w:softHyphen/>
        <w:t>комбинировать с образованием молекул воды, и свободные ра</w:t>
        <w:softHyphen/>
        <w:t>дикалы И' и ОН* (Н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+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-&gt; Н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+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+ ОН- или 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-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-&gt; ОН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-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+ Н’).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Среди основных продуктов радиолиза воды должен быть на</w:t>
        <w:softHyphen/>
        <w:t>зван и гидратированный электрон (е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-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гидр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). Электрон, теряющий в конце пробега свою кинетическую энергию, как бы захватыва</w:t>
        <w:softHyphen/>
        <w:t>ется расположенными рядом молекулами воды, которые соот</w:t>
        <w:softHyphen/>
        <w:t>ветствующим образом ориентируются вокруг него. Эта структу</w:t>
        <w:softHyphen/>
        <w:t>ра и получила наименование «гидратированный электрон».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30" w:lineRule="auto"/>
        <w:ind w:left="0" w:right="0"/>
        <w:jc w:val="both"/>
        <w:sectPr>
          <w:footerReference w:type="default" r:id="rId70"/>
          <w:footerReference w:type="even" r:id="rId71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069" w:right="382" w:bottom="681" w:left="1740" w:header="641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Гидроксильный радикал ОН’, образующийся в процессе ра</w:t>
        <w:softHyphen/>
        <w:t>диолиза воды, выступает как очень сильный окислитель. Ради</w:t>
        <w:softHyphen/>
        <w:t>кал водорода Н‘ и гидратированный электрон обладают высокой реакционной способностью как восстановители.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Во время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химической стадии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образовавшиеся ранее высоко</w:t>
        <w:softHyphen/>
        <w:t>активные свободные радикалы вступают в реакции между собой и с интактными молекулами, в результате чего возникают разно</w:t>
        <w:softHyphen/>
        <w:t xml:space="preserve">образные повреждения молекул. Если повреждение биомолекул происходит в результате непосредственного поглощения ими энергии излучения, принято говорить о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прямом действии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радиа</w:t>
        <w:softHyphen/>
        <w:t>ции. Если же биомолекулы повреждаются в результате их хими</w:t>
        <w:softHyphen/>
        <w:t xml:space="preserve">ческого взаимодействия с продуктами радиолиза воды, говорят о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непрямом (косвенном) действии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радиации.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Относительный вклад прямого и косвенного действия радиа</w:t>
        <w:softHyphen/>
        <w:t>ции в повреждение биологических систем зависит от размера и природы молекул, а также от концентрации их раствора. При об</w:t>
        <w:softHyphen/>
        <w:t>лучении макромолекул небольших размеров в растворах преоб</w:t>
        <w:softHyphen/>
        <w:t>ладает косвенное действие радиации, в сухих препаратах — пря</w:t>
        <w:softHyphen/>
        <w:t>мое действие. Роль прямого действия выше для относительно слабо гидратированных структур, таких, например, как ДНК хроматина. Непрямое действие радиации имеет определяющее значение при повреждении фосфолипидов, составляющих струк- |урную основу клеточных мембран. С другой стороны, возник</w:t>
        <w:softHyphen/>
        <w:t>шие повреждения могут быть репарированы с восстановлением нормальной жизнедеятельности клетки. Естественно, чем выше доза облучения, тем больше возникает первичных повреждений и тем меньше возможность их достаточной репарации.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 высокореактивным продуктам, вступающим в реакции на химической стадии, относятся, прежде всего, радикалы ОН' и Н' и гидратированный электрон (е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_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гидр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.):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Н’ + Н' -&gt; 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ОН’ + ОН’ -&gt; 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СГ + ОН’ -&gt; С1‘ + ОН";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&gt;С = С&lt; + ОН’ -&gt; &gt;С’ — СОН&lt;;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RRH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ОН’ -&gt;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RR’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+ 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НО’ + 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-&gt; 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 + Н’;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&gt;С = С&lt; + Н’ -&gt; &gt;С’ — СН&lt;;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RRH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Н’ -&gt;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RR’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+ 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е’гидр. +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NH</w:t>
      </w:r>
      <w:r>
        <w:rPr>
          <w:spacing w:val="0"/>
          <w:w w:val="100"/>
          <w:position w:val="0"/>
          <w:shd w:val="clear" w:color="auto" w:fill="auto"/>
          <w:vertAlign w:val="subscript"/>
          <w:lang w:val="en-US" w:eastAsia="en-US" w:bidi="en-US"/>
        </w:rPr>
        <w:t>3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+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CH(CH</w:t>
      </w:r>
      <w:r>
        <w:rPr>
          <w:spacing w:val="0"/>
          <w:w w:val="100"/>
          <w:position w:val="0"/>
          <w:shd w:val="clear" w:color="auto" w:fill="auto"/>
          <w:vertAlign w:val="subscript"/>
          <w:lang w:val="en-US" w:eastAsia="en-US" w:bidi="en-US"/>
        </w:rPr>
        <w:t>2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SH)COO" H</w:t>
      </w:r>
      <w:r>
        <w:rPr>
          <w:spacing w:val="0"/>
          <w:w w:val="100"/>
          <w:position w:val="0"/>
          <w:shd w:val="clear" w:color="auto" w:fill="auto"/>
          <w:vertAlign w:val="subscript"/>
          <w:lang w:val="en-US" w:eastAsia="en-US" w:bidi="en-US"/>
        </w:rPr>
        <w:t>2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S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NH</w:t>
      </w:r>
      <w:r>
        <w:rPr>
          <w:spacing w:val="0"/>
          <w:w w:val="100"/>
          <w:position w:val="0"/>
          <w:shd w:val="clear" w:color="auto" w:fill="auto"/>
          <w:vertAlign w:val="subscript"/>
          <w:lang w:val="en-US" w:eastAsia="en-US" w:bidi="en-US"/>
        </w:rPr>
        <w:t>2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CH(CH</w:t>
      </w:r>
      <w:r>
        <w:rPr>
          <w:spacing w:val="0"/>
          <w:w w:val="100"/>
          <w:position w:val="0"/>
          <w:shd w:val="clear" w:color="auto" w:fill="auto"/>
          <w:vertAlign w:val="subscript"/>
          <w:lang w:val="en-US" w:eastAsia="en-US" w:bidi="en-US"/>
        </w:rPr>
        <w:t>2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)COO".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184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(цистеин)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28" w:lineRule="auto"/>
        <w:ind w:left="0" w:right="0"/>
        <w:jc w:val="both"/>
        <w:sectPr>
          <w:footerReference w:type="default" r:id="rId72"/>
          <w:footerReference w:type="even" r:id="rId73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066" w:right="648" w:bottom="655" w:left="1459" w:header="638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Кроме того, при взаимодействии первичных продуктов ра</w:t>
        <w:softHyphen/>
        <w:t>диолиза воды с кислородом образуются ионы НзО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+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, пероксид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водорода Н2О2, а также супероксидный анион-радикал Ог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-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’ и гидропероксид НОг’, обладающие даже более высокой реакци</w:t>
        <w:softHyphen/>
        <w:t>онной способностью, чем первичные радикалы.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Эндогенный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NO,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основной регулятор локального тонуса ар</w:t>
        <w:softHyphen/>
        <w:t>териальных сосудов, является также радикалом и активно взаи</w:t>
        <w:softHyphen/>
        <w:t>модействует с супероксид-анион-радикалом с образованием пе- роксинитрит-аниона: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" +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NO’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-&gt;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ONOO”.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Пероксинитрит, являясь токсичным веществом, способным повреждать белки и ДНК, при своем распаде вновь образует вы</w:t>
        <w:softHyphen/>
        <w:t>сокореактивные продукты — гидроксильный радикал НО’, ди</w:t>
        <w:softHyphen/>
        <w:t xml:space="preserve">оксид азота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NO</w:t>
      </w:r>
      <w:r>
        <w:rPr>
          <w:spacing w:val="0"/>
          <w:w w:val="100"/>
          <w:position w:val="0"/>
          <w:shd w:val="clear" w:color="auto" w:fill="auto"/>
          <w:vertAlign w:val="subscript"/>
          <w:lang w:val="en-US" w:eastAsia="en-US" w:bidi="en-US"/>
        </w:rPr>
        <w:t>2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и нитроний ион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NO</w:t>
      </w:r>
      <w:r>
        <w:rPr>
          <w:spacing w:val="0"/>
          <w:w w:val="100"/>
          <w:position w:val="0"/>
          <w:shd w:val="clear" w:color="auto" w:fill="auto"/>
          <w:vertAlign w:val="subscript"/>
          <w:lang w:val="en-US" w:eastAsia="en-US" w:bidi="en-US"/>
        </w:rPr>
        <w:t>2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+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взаимодействии с органическими веществами радикала водорода Н’ происходит отщепление водорода: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RH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Н’ -&gt;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R’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+ 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,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23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 при наличии свободной аминогруппы все завершается дезами</w:t>
        <w:softHyphen/>
        <w:t>нированием: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RNH</w:t>
      </w:r>
      <w:r>
        <w:rPr>
          <w:spacing w:val="0"/>
          <w:w w:val="100"/>
          <w:position w:val="0"/>
          <w:shd w:val="clear" w:color="auto" w:fill="auto"/>
          <w:vertAlign w:val="subscript"/>
          <w:lang w:val="en-US" w:eastAsia="en-US" w:bidi="en-US"/>
        </w:rPr>
        <w:t>2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Н’ -&gt;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R’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NH</w:t>
      </w:r>
      <w:r>
        <w:rPr>
          <w:spacing w:val="0"/>
          <w:w w:val="100"/>
          <w:position w:val="0"/>
          <w:shd w:val="clear" w:color="auto" w:fill="auto"/>
          <w:vertAlign w:val="subscript"/>
          <w:lang w:val="en-US" w:eastAsia="en-US" w:bidi="en-US"/>
        </w:rPr>
        <w:t>3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Образующиеся в результате как прямого, так и непрямого действия радиации органические радикалы также обладают вы</w:t>
        <w:softHyphen/>
        <w:t>сокой реакционной способностью. Они могут вступать в реак</w:t>
        <w:softHyphen/>
        <w:t>ции</w:t>
      </w:r>
    </w:p>
    <w:p>
      <w:pPr>
        <w:pStyle w:val="Style34"/>
        <w:keepNext w:val="0"/>
        <w:keepLines w:val="0"/>
        <w:widowControl w:val="0"/>
        <w:numPr>
          <w:ilvl w:val="0"/>
          <w:numId w:val="31"/>
        </w:numPr>
        <w:shd w:val="clear" w:color="auto" w:fill="auto"/>
        <w:tabs>
          <w:tab w:pos="578" w:val="left"/>
        </w:tabs>
        <w:bidi w:val="0"/>
        <w:spacing w:before="0" w:after="14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гидроксилирования: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R’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ОН -&gt;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ROH;</w:t>
      </w:r>
    </w:p>
    <w:p>
      <w:pPr>
        <w:pStyle w:val="Style34"/>
        <w:keepNext w:val="0"/>
        <w:keepLines w:val="0"/>
        <w:widowControl w:val="0"/>
        <w:numPr>
          <w:ilvl w:val="0"/>
          <w:numId w:val="31"/>
        </w:numPr>
        <w:shd w:val="clear" w:color="auto" w:fill="auto"/>
        <w:tabs>
          <w:tab w:pos="578" w:val="left"/>
        </w:tabs>
        <w:bidi w:val="0"/>
        <w:spacing w:before="0" w:after="14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гидрирования: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R’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Н -&gt;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RH;</w:t>
      </w:r>
    </w:p>
    <w:p>
      <w:pPr>
        <w:pStyle w:val="Style34"/>
        <w:keepNext w:val="0"/>
        <w:keepLines w:val="0"/>
        <w:widowControl w:val="0"/>
        <w:numPr>
          <w:ilvl w:val="0"/>
          <w:numId w:val="31"/>
        </w:numPr>
        <w:shd w:val="clear" w:color="auto" w:fill="auto"/>
        <w:tabs>
          <w:tab w:pos="578" w:val="left"/>
        </w:tabs>
        <w:bidi w:val="0"/>
        <w:spacing w:before="0" w:after="14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образования гидроперекисных радикалов: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R'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+ О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-&gt;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ROO’;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ROO'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RH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-&gt;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ROOH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R’.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26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Соединяясь с кислородом, органические радикалы образуют пероксидные радикалы типа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RO2’,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которые, в свою очередь, мо</w:t>
        <w:softHyphen/>
        <w:t>гут переходить в гидроперекиси, отщепляя водород от других со</w:t>
        <w:softHyphen/>
        <w:t>единений: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 w:firstLine="0"/>
        <w:jc w:val="center"/>
        <w:sectPr>
          <w:footerReference w:type="default" r:id="rId74"/>
          <w:footerReference w:type="even" r:id="rId75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101" w:right="588" w:bottom="611" w:left="1548" w:header="673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RO</w:t>
      </w:r>
      <w:r>
        <w:rPr>
          <w:spacing w:val="0"/>
          <w:w w:val="100"/>
          <w:position w:val="0"/>
          <w:shd w:val="clear" w:color="auto" w:fill="auto"/>
          <w:vertAlign w:val="subscript"/>
          <w:lang w:val="en-US" w:eastAsia="en-US" w:bidi="en-US"/>
        </w:rPr>
        <w:t>2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’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RSH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-&gt;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ROOH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RS’.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распаде после внутримолекулярных перестроек, при по</w:t>
        <w:softHyphen/>
        <w:t>вторном взаимодействии с продуктами радиолиза воды или по</w:t>
        <w:softHyphen/>
        <w:t>сле реагирования друг с другом радикалы органических молекул могут перейти в стабильное состояние путем следующих процес</w:t>
        <w:softHyphen/>
        <w:t>сов:</w:t>
      </w:r>
    </w:p>
    <w:p>
      <w:pPr>
        <w:pStyle w:val="Style34"/>
        <w:keepNext w:val="0"/>
        <w:keepLines w:val="0"/>
        <w:widowControl w:val="0"/>
        <w:numPr>
          <w:ilvl w:val="0"/>
          <w:numId w:val="33"/>
        </w:numPr>
        <w:shd w:val="clear" w:color="auto" w:fill="auto"/>
        <w:tabs>
          <w:tab w:pos="542" w:val="left"/>
        </w:tabs>
        <w:bidi w:val="0"/>
        <w:spacing w:before="0" w:after="120" w:line="230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диспропорционирования: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R'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R'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-&gt;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Ri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R</w:t>
      </w:r>
      <w:r>
        <w:rPr>
          <w:spacing w:val="0"/>
          <w:w w:val="100"/>
          <w:position w:val="0"/>
          <w:shd w:val="clear" w:color="auto" w:fill="auto"/>
          <w:vertAlign w:val="subscript"/>
          <w:lang w:val="en-US" w:eastAsia="en-US" w:bidi="en-US"/>
        </w:rPr>
        <w:t>2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;</w:t>
      </w:r>
    </w:p>
    <w:p>
      <w:pPr>
        <w:pStyle w:val="Style34"/>
        <w:keepNext w:val="0"/>
        <w:keepLines w:val="0"/>
        <w:widowControl w:val="0"/>
        <w:numPr>
          <w:ilvl w:val="0"/>
          <w:numId w:val="33"/>
        </w:numPr>
        <w:shd w:val="clear" w:color="auto" w:fill="auto"/>
        <w:tabs>
          <w:tab w:pos="546" w:val="left"/>
        </w:tabs>
        <w:bidi w:val="0"/>
        <w:spacing w:before="0" w:after="120" w:line="228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димеризации: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R‘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R'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R;</w:t>
      </w:r>
    </w:p>
    <w:p>
      <w:pPr>
        <w:pStyle w:val="Style34"/>
        <w:keepNext w:val="0"/>
        <w:keepLines w:val="0"/>
        <w:widowControl w:val="0"/>
        <w:numPr>
          <w:ilvl w:val="0"/>
          <w:numId w:val="33"/>
        </w:numPr>
        <w:shd w:val="clear" w:color="auto" w:fill="auto"/>
        <w:tabs>
          <w:tab w:pos="542" w:val="left"/>
        </w:tabs>
        <w:bidi w:val="0"/>
        <w:spacing w:before="0" w:after="120" w:line="228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полимеризации: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R'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—&gt; —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R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-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Чаще всего, вступая в разнообразные реакции, органические радикалы инактивируются. Однако образовавшийся в результате облучения свободный радикал может прореагировать с нормаль</w:t>
        <w:softHyphen/>
        <w:t>ным радикалом, участвующим в важной ферментативной реак</w:t>
        <w:softHyphen/>
        <w:t>ции, и инактивировать его. В этом случае повреждающее дейст</w:t>
        <w:softHyphen/>
        <w:t>вие радикалов может быть связано с ингибированием соответст</w:t>
        <w:softHyphen/>
        <w:t>вующей реакции.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500" w:line="228" w:lineRule="auto"/>
        <w:ind w:left="0" w:right="0" w:firstLine="320"/>
        <w:jc w:val="both"/>
      </w:pPr>
      <w:bookmarkStart w:id="24" w:name="bookmark24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Физическая, химическая и физико-химическая стадии дей</w:t>
        <w:softHyphen/>
        <w:t>ствия радиации получили наименование первичных (или добио- логических). Они осуществляются в течение чрезвычайно ко</w:t>
        <w:softHyphen/>
        <w:t xml:space="preserve">роткого промежутка времени и являются общими для действия излучений как на живую, так и на неживую материю.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Биологиче</w:t>
        <w:softHyphen/>
        <w:t>ская стадия,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сущность которой составляют вторичные, так на</w:t>
        <w:softHyphen/>
        <w:t>зываемые радиобиологические эффекты, прослеживаемые на всех уровнях организации живого, начиная с субклеточного и завершая организменным. Если для осуществления добиологи- ческих стадий требуется промежуток времени, измеряемый в пределах одной секунды, биологическая стадия может длиться । одами и десятилетиями, нередко в течение всей жизни индиви</w:t>
        <w:softHyphen/>
        <w:t>дуума, подвергшегося облучению, а иногда и у его потомков.</w:t>
      </w:r>
      <w:bookmarkEnd w:id="24"/>
    </w:p>
    <w:p>
      <w:pPr>
        <w:pStyle w:val="Style44"/>
        <w:keepNext/>
        <w:keepLines/>
        <w:widowControl w:val="0"/>
        <w:numPr>
          <w:ilvl w:val="1"/>
          <w:numId w:val="35"/>
        </w:numPr>
        <w:shd w:val="clear" w:color="auto" w:fill="auto"/>
        <w:tabs>
          <w:tab w:pos="706" w:val="left"/>
        </w:tabs>
        <w:bidi w:val="0"/>
        <w:spacing w:before="0" w:after="220" w:line="276" w:lineRule="auto"/>
        <w:ind w:left="0" w:right="0" w:firstLine="0"/>
        <w:jc w:val="center"/>
      </w:pPr>
      <w:bookmarkStart w:id="25" w:name="bookmark25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МОЛЕКУЛЯРНЫЕ МЕХАНИЗМЫ</w:t>
        <w:br/>
        <w:t>ЛУЧЕВОГО ПОВРЕЖДЕНИЯ БИОСИСТЕМ</w:t>
      </w:r>
      <w:bookmarkEnd w:id="25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both"/>
        <w:sectPr>
          <w:footerReference w:type="default" r:id="rId76"/>
          <w:footerReference w:type="even" r:id="rId77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98" w:right="833" w:bottom="709" w:left="1279" w:header="570" w:footer="3" w:gutter="0"/>
          <w:cols w:space="720"/>
          <w:noEndnote/>
          <w:rtlGutter w:val="0"/>
          <w:docGrid w:linePitch="360"/>
        </w:sectPr>
      </w:pPr>
      <w:r>
        <w:rPr>
          <w:rFonts w:ascii="Arial" w:eastAsia="Arial" w:hAnsi="Arial" w:cs="Arial"/>
          <w:b/>
          <w:bCs/>
          <w:spacing w:val="0"/>
          <w:w w:val="100"/>
          <w:position w:val="0"/>
          <w:sz w:val="19"/>
          <w:szCs w:val="19"/>
          <w:shd w:val="clear" w:color="auto" w:fill="auto"/>
          <w:lang w:val="ru-RU" w:eastAsia="ru-RU" w:bidi="ru-RU"/>
        </w:rPr>
        <w:t xml:space="preserve">В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результате процессов, происходящих на первичных стадиях действия излучений, изменения могут возникнуть в любых мо</w:t>
        <w:softHyphen/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пекулярных структурах, входящих в состав живой клетки: нукле</w:t>
        <w:softHyphen/>
        <w:t>иновых кислотах, белках, жирах, углеводах.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 наиболее биологически значимым (и к тому же появляю</w:t>
        <w:softHyphen/>
        <w:t>щимся после облучения в сравнительно невысоких дозах) по</w:t>
        <w:softHyphen/>
        <w:t xml:space="preserve">вреждениям должны быть отнесены в первую очередь нарушения структуры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дезоксирибонуклеиновой кислоты (ДНК).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Это, прежде всего, повреждения оснований, выщепление отдельных основа</w:t>
        <w:softHyphen/>
        <w:t>ний из цепи, разрушение фосфоэфирных связей, лежащее в осно</w:t>
        <w:softHyphen/>
        <w:t>ве одиночных и двойных разрывов цепочек ДНК, распад дезокси</w:t>
        <w:softHyphen/>
        <w:t>рибозы, повреждения ДНК-мембранного комплекса, разрушение водородных связей, нарушение связей ДНК-белок, повышающее атакуемость ДНК вторичными радикалами и ферментами, сшив</w:t>
        <w:softHyphen/>
        <w:t>ки ДНК-ДНК и ДНК-белок. Некоторые варианты радиационно</w:t>
        <w:softHyphen/>
        <w:t>го повреждения молекул ДНК изображены на рис. 8.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6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Показано, что около 1% энергии ионизирующего излучения поглощается непосредственно в ядерной ДНК (прямое действие радиации). При ионизации ДНК поглощенная энергия может мигрировать по нуклеотидной цепи до локализации в «слабых» местах: фосфатно-углеродная связь, а также пуриновые и пи</w:t>
        <w:softHyphen/>
        <w:t>римидиновые кольца. Большая часть поглощенной энергии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359150" cy="2602865"/>
            <wp:docPr id="111" name="Picutre 11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Picture 111"/>
                    <pic:cNvPicPr/>
                  </pic:nvPicPr>
                  <pic:blipFill>
                    <a:blip r:embed="rId78"/>
                    <a:stretch/>
                  </pic:blipFill>
                  <pic:spPr>
                    <a:xfrm>
                      <a:ext cx="3359150" cy="260286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8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627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Сшивка молекул ДНК Двойной разрыв ДНК</w:t>
      </w:r>
    </w:p>
    <w:p>
      <w:pPr>
        <w:pStyle w:val="Style48"/>
        <w:keepNext w:val="0"/>
        <w:keepLines w:val="0"/>
        <w:widowControl w:val="0"/>
        <w:shd w:val="clear" w:color="auto" w:fill="auto"/>
        <w:bidi w:val="0"/>
        <w:spacing w:before="0" w:after="0" w:line="266" w:lineRule="auto"/>
        <w:ind w:left="0" w:right="0" w:firstLine="0"/>
        <w:jc w:val="center"/>
        <w:sectPr>
          <w:footerReference w:type="default" r:id="rId80"/>
          <w:footerReference w:type="even" r:id="rId81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18" w:right="533" w:bottom="789" w:left="1603" w:header="490" w:footer="3" w:gutter="0"/>
          <w:cols w:space="720"/>
          <w:noEndnote/>
          <w:rtlGutter w:val="0"/>
          <w:docGrid w:linePitch="360"/>
        </w:sectPr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Рис. 8.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Схема радиационного повреждения ДНК (по Е. В. Гембицкому, В. Г. Владимирову, 1985)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(приблизительно 80-90%) расходуется на разрушение структуры азотистых оснований, а оставшаяся часть вызывает разрывы са- харофосфатного остова ДНК.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непрямом действии радиации первичные радикалы ДНК образуются под воздействием продуктов радиолиза воды: гидрок</w:t>
        <w:softHyphen/>
        <w:t>сильного радикала и гидратированного электрона. Гидроксиль</w:t>
        <w:softHyphen/>
        <w:t>ный радикал является основным агентом, вызывающим радиолиз азотистых оснований и дезоксирибозофосфатного фрагмента ДНК, а поражающий эффект гидратированного электрона на молекулу ДНК возможен только в бескислородной среде.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Аналогичные радиационно-химические изменения наблюда</w:t>
        <w:softHyphen/>
        <w:t xml:space="preserve">ются и в облученной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рибонуклеиновой кислоте (РНК).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Разница состоит лишь в том, что в РНК, в связи с ее однонитчатой струк- гурой, не может быть двунитиевых разрывов.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Не менее значимыми для жизнедеятельности клетки являют</w:t>
        <w:softHyphen/>
        <w:t>ся и вызванные прямым или непрямым действием радиации по</w:t>
        <w:softHyphen/>
        <w:t xml:space="preserve">вреждения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белка.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Чувствительность гликопротеинов к радиации прежде всего предопределяется радиолизом их углеводного компонента. Об</w:t>
        <w:softHyphen/>
        <w:t>разующиеся в присутствии кислорода и воды свободные радика</w:t>
        <w:softHyphen/>
        <w:t>лы могут приводить к разрыву пептидной связи, образованию амида, кетокислоты и гидроперекисного радикала. Все это, в свою очередь, приводит к нарушению структуры белка: разрыву дисульфидных мостиков, водородных связей, пептидной цепи, образованию сшивок между пептидными цепями, отщеплению аммиака, сероводорода, окислению сульфгидрильных групп и ароматических аминокислот, к конформационным изменениям вторичной и третичной структуры белка.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  <w:sectPr>
          <w:footerReference w:type="default" r:id="rId82"/>
          <w:footerReference w:type="even" r:id="rId83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005" w:right="816" w:bottom="691" w:left="1277" w:header="577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Первичные изменения, вызываемые поглощением энергии излучений, сначала распределяются по всей молекуле белка слу</w:t>
        <w:softHyphen/>
        <w:t>чайно. Однако затем, благодаря внутримолекулярной миграции, возможна концентрация энергии в определенных, наиболее уяз</w:t>
        <w:softHyphen/>
        <w:t>вимых участках: по месту локализации атомов двухвалентной серы или спаренных (конденсированных) циклов триптофана. В итоге в этих местах изменения реализуются уже в виде опреде</w:t>
        <w:softHyphen/>
        <w:t>ленных структурных нарушений, которые можно проследить по изменению ряда физико-химических характеристик белков (по</w:t>
        <w:softHyphen/>
        <w:t>казателям вязкости, эффектам оптического преломления и вра</w:t>
        <w:softHyphen/>
        <w:t>щения, спектрам электронного и парамагнитного резонанса и Т. д.). Перераспределению энергии возбуждения в молекулах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белков способствуют бензольные кольца циклических амино</w:t>
        <w:softHyphen/>
        <w:t>кислот, а также а-спирали полипептидов.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33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облучении растворов белка большую роль в поврежде</w:t>
        <w:softHyphen/>
        <w:t>нии его структуры играют продукты радиолиза воды. В частно</w:t>
        <w:softHyphen/>
        <w:t xml:space="preserve">сти, возникают реакции окисления белковых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SH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-групп, которые нередко протекают по цепному механизму с образованием дису</w:t>
        <w:softHyphen/>
        <w:t>льфидов: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SH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НО' -&gt;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S'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+ 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SH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+ НО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‘ -&gt;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S’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+ 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S'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SH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-&gt;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S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S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R + H’.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33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Дисульфиды могут образовываться, кроме того, путем реком</w:t>
        <w:softHyphen/>
        <w:t xml:space="preserve">бинации появляющихся при облучении радикалов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S’: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2R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S'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-&gt;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S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S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R;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33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или в результате взаимодействия тиолов с Н2О2: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2R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SH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+ 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-&gt;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S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S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 +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2Н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33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Радиационно-химические повреждения структуры белка мо</w:t>
        <w:softHyphen/>
        <w:t>гут возникать и в результате реакций дезаминирования: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H</w:t>
      </w:r>
      <w:r>
        <w:rPr>
          <w:spacing w:val="0"/>
          <w:w w:val="100"/>
          <w:position w:val="0"/>
          <w:shd w:val="clear" w:color="auto" w:fill="auto"/>
          <w:vertAlign w:val="subscript"/>
          <w:lang w:val="en-US" w:eastAsia="en-US" w:bidi="en-US"/>
        </w:rPr>
        <w:t>3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N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+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— СН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— СОО“ + 2НО' -&gt; НО — СН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—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COO'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N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+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H</w:t>
      </w:r>
      <w:r>
        <w:rPr>
          <w:spacing w:val="0"/>
          <w:w w:val="100"/>
          <w:position w:val="0"/>
          <w:shd w:val="clear" w:color="auto" w:fill="auto"/>
          <w:vertAlign w:val="subscript"/>
          <w:lang w:val="en-US" w:eastAsia="en-US" w:bidi="en-US"/>
        </w:rPr>
        <w:t>2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+ Н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Радиационно-химические изменения белков, прежде всего изменения их вторичной и третичной структуры, могут привести к изменению биологических свойств, в том числе ферментатив</w:t>
        <w:softHyphen/>
        <w:t>ной активности. Инактивация белков при воздействии ионизи</w:t>
        <w:softHyphen/>
        <w:t>рующих излучений может происходить в результате развития упомянутых реакций в активных центрах ферментов, а также вследствие разрывов полипептидных цепей, явлений димериза</w:t>
        <w:softHyphen/>
        <w:t>ции и ряда других процессов, изменяющих конформационную и химическую структуру белковой молекулы.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33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липидной фракции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первичные изменения при воздействии ионизирующих излучений состоят в образовании свободных ра</w:t>
        <w:softHyphen/>
        <w:t>дикалов, которые, взаимодействуя с кислородом, являются ис</w:t>
        <w:softHyphen/>
        <w:t>точником возникновения перекисных соединений. Последние, в свою очередь, могут вступать в реакцию с жирами, в результате чего образуются гидроперекиси: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LH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-&gt;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L"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+ Н';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 w:firstLine="0"/>
        <w:jc w:val="center"/>
        <w:rPr>
          <w:sz w:val="22"/>
          <w:szCs w:val="22"/>
        </w:rPr>
        <w:sectPr>
          <w:footerReference w:type="default" r:id="rId84"/>
          <w:footerReference w:type="even" r:id="rId85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13" w:right="485" w:bottom="783" w:left="1642" w:header="485" w:footer="3" w:gutter="0"/>
          <w:cols w:space="720"/>
          <w:noEndnote/>
          <w:rtlGutter w:val="0"/>
          <w:docGrid w:linePitch="360"/>
        </w:sectPr>
      </w:pPr>
      <w:r>
        <w:rPr>
          <w:rFonts w:ascii="Times New Roman" w:eastAsia="Times New Roman" w:hAnsi="Times New Roman" w:cs="Times New Roman"/>
          <w:smallCaps/>
          <w:spacing w:val="0"/>
          <w:w w:val="100"/>
          <w:position w:val="0"/>
          <w:sz w:val="22"/>
          <w:szCs w:val="22"/>
          <w:shd w:val="clear" w:color="auto" w:fill="auto"/>
          <w:lang w:val="en-US" w:eastAsia="en-US" w:bidi="en-US"/>
        </w:rPr>
        <w:t>l</w:t>
      </w:r>
      <w:r>
        <w:rPr>
          <w:spacing w:val="0"/>
          <w:w w:val="100"/>
          <w:position w:val="0"/>
          <w:sz w:val="17"/>
          <w:szCs w:val="17"/>
          <w:shd w:val="clear" w:color="auto" w:fill="auto"/>
          <w:lang w:val="en-US" w:eastAsia="en-US" w:bidi="en-US"/>
        </w:rPr>
        <w:t xml:space="preserve"> </w:t>
      </w:r>
      <w:r>
        <w:rPr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>+ О</w:t>
      </w:r>
      <w:r>
        <w:rPr>
          <w:spacing w:val="0"/>
          <w:w w:val="100"/>
          <w:position w:val="0"/>
          <w:sz w:val="17"/>
          <w:szCs w:val="17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—&gt; </w:t>
      </w:r>
      <w:r>
        <w:rPr>
          <w:rFonts w:ascii="Times New Roman" w:eastAsia="Times New Roman" w:hAnsi="Times New Roman" w:cs="Times New Roman"/>
          <w:smallCaps/>
          <w:spacing w:val="0"/>
          <w:w w:val="100"/>
          <w:position w:val="0"/>
          <w:sz w:val="22"/>
          <w:szCs w:val="22"/>
          <w:shd w:val="clear" w:color="auto" w:fill="auto"/>
          <w:lang w:val="en-US" w:eastAsia="en-US" w:bidi="en-US"/>
        </w:rPr>
        <w:t>lo</w:t>
      </w:r>
      <w:r>
        <w:rPr>
          <w:rFonts w:ascii="Times New Roman" w:eastAsia="Times New Roman" w:hAnsi="Times New Roman" w:cs="Times New Roman"/>
          <w:smallCaps/>
          <w:spacing w:val="0"/>
          <w:w w:val="100"/>
          <w:position w:val="0"/>
          <w:sz w:val="22"/>
          <w:szCs w:val="22"/>
          <w:shd w:val="clear" w:color="auto" w:fill="auto"/>
          <w:vertAlign w:val="subscript"/>
          <w:lang w:val="en-US" w:eastAsia="en-US" w:bidi="en-US"/>
        </w:rPr>
        <w:t>2</w:t>
      </w:r>
      <w:r>
        <w:rPr>
          <w:rFonts w:ascii="Times New Roman" w:eastAsia="Times New Roman" w:hAnsi="Times New Roman" w:cs="Times New Roman"/>
          <w:smallCaps/>
          <w:spacing w:val="0"/>
          <w:w w:val="100"/>
          <w:position w:val="0"/>
          <w:sz w:val="22"/>
          <w:szCs w:val="22"/>
          <w:shd w:val="clear" w:color="auto" w:fill="auto"/>
          <w:lang w:val="en-US" w:eastAsia="en-US" w:bidi="en-US"/>
        </w:rPr>
        <w:t xml:space="preserve"> </w:t>
      </w:r>
      <w:r>
        <w:rPr>
          <w:rFonts w:ascii="Times New Roman" w:eastAsia="Times New Roman" w:hAnsi="Times New Roman" w:cs="Times New Roman"/>
          <w:smallCap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L0</w:t>
      </w:r>
      <w:r>
        <w:rPr>
          <w:spacing w:val="0"/>
          <w:w w:val="100"/>
          <w:position w:val="0"/>
          <w:shd w:val="clear" w:color="auto" w:fill="auto"/>
          <w:vertAlign w:val="subscript"/>
          <w:lang w:val="en-US" w:eastAsia="en-US" w:bidi="en-US"/>
        </w:rPr>
        <w:t>2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' + LH -&gt; LOOH + L';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L' + H0’</w:t>
      </w:r>
      <w:r>
        <w:rPr>
          <w:spacing w:val="0"/>
          <w:w w:val="100"/>
          <w:position w:val="0"/>
          <w:shd w:val="clear" w:color="auto" w:fill="auto"/>
          <w:vertAlign w:val="subscript"/>
          <w:lang w:val="en-US" w:eastAsia="en-US" w:bidi="en-US"/>
        </w:rPr>
        <w:t>2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 -&gt; LOOH.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Гидроперекиси очень нестойки и при наличии ионов метал</w:t>
        <w:softHyphen/>
        <w:t>лов с переменной валентностью легко распадаются с образова</w:t>
        <w:softHyphen/>
        <w:t>нием ряда высоко активных радикалов: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LOOH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-&gt;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L'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+ Н0'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LOOH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-&gt;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LO'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+ НО';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LOOH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-&gt;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LO</w:t>
      </w:r>
      <w:r>
        <w:rPr>
          <w:spacing w:val="0"/>
          <w:w w:val="100"/>
          <w:position w:val="0"/>
          <w:shd w:val="clear" w:color="auto" w:fill="auto"/>
          <w:vertAlign w:val="subscript"/>
          <w:lang w:val="en-US" w:eastAsia="en-US" w:bidi="en-US"/>
        </w:rPr>
        <w:t>2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+ Н‘.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Образовавшиеся радикалы могут дать толчок к развитию цепных реакций окисления, в том числе перекисного окисления липидов (рис. 9).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Если создаются условия для взаимодействия радикалов меж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ду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собой, то образуются стабильные вещества, что приводит к обрыву цепной реакции: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L'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L'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-&gt;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LL;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LOO'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LOO'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-&gt;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LOOL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+ О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L0‘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LO' LOOL;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LO'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L'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-&gt;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LOL;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LOO'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+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L'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-&gt;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LOOL.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Перекисные соединения разрушаются в дальнейшем с обра</w:t>
        <w:softHyphen/>
        <w:t>зованием оксикислот, альдегидов и других продуктов окисления жиров. При облучении большими дозами радиации происходит декарбоксилирование жирных кислот, и даже их распад.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Важные последствия лучевых повреждений структуры липи</w:t>
        <w:softHyphen/>
        <w:t>дов проявляются в нарушении строения клеточных мембран. Вовлечение липидов мембран в процессы перекисного окисле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нии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может вызывать деструкцию липопротеидных комплексов, что служит причиной изменения проницаемости мембран, сме</w:t>
        <w:softHyphen/>
        <w:t>шения ионных градиентов в клетке, нарушения процессов ад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сорбции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 активного транспорта ряда веществ. Нарушаются так</w:t>
        <w:softHyphen/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9"/>
          <w:szCs w:val="19"/>
          <w:shd w:val="clear" w:color="auto" w:fill="auto"/>
          <w:lang w:val="ru-RU" w:eastAsia="ru-RU" w:bidi="ru-RU"/>
        </w:rPr>
        <w:t xml:space="preserve">же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процессы окислительного фосфорилирования, нормальное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течение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которых обеспечивается упорядоченной локализацией ферментов на мембранах. Повреждение мембран лизосом при</w:t>
        <w:softHyphen/>
        <w:t>водит к выходу и активации гидролитических ферментов.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28" w:lineRule="auto"/>
        <w:ind w:left="0" w:right="0"/>
        <w:jc w:val="both"/>
        <w:sectPr>
          <w:footerReference w:type="default" r:id="rId86"/>
          <w:footerReference w:type="even" r:id="rId87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055" w:right="840" w:bottom="657" w:left="127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Продукты перекисного окисления ненасыщенных жирных кислот вследствие обнаруженных у них радиомиметических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943985" cy="5797550"/>
            <wp:docPr id="132" name="Picutre 13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Picture 132"/>
                    <pic:cNvPicPr/>
                  </pic:nvPicPr>
                  <pic:blipFill>
                    <a:blip r:embed="rId88"/>
                    <a:stretch/>
                  </pic:blipFill>
                  <pic:spPr>
                    <a:xfrm>
                      <a:ext cx="3943985" cy="57975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8"/>
        <w:keepNext w:val="0"/>
        <w:keepLines w:val="0"/>
        <w:widowControl w:val="0"/>
        <w:shd w:val="clear" w:color="auto" w:fill="auto"/>
        <w:bidi w:val="0"/>
        <w:spacing w:before="0" w:after="0" w:line="266" w:lineRule="auto"/>
        <w:ind w:left="0" w:right="0" w:firstLine="0"/>
        <w:jc w:val="center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111" w:right="593" w:bottom="724" w:left="1601" w:header="0" w:footer="3" w:gutter="0"/>
          <w:cols w:space="720"/>
          <w:noEndnote/>
          <w:rtlGutter w:val="0"/>
          <w:docGrid w:linePitch="360"/>
        </w:sectPr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Рис. 9.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Цепные свободно-радикальные процессы перекисного окисления липидов в клетке (по Ю. Б. Кудряшову, 2001)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640" w:right="0" w:firstLine="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свойств (способность вызывать разрывы цепей ДНК, возникно</w:t>
        <w:softHyphen/>
        <w:t>вение хромосомных аберраций, подавление репарации повреж</w:t>
        <w:softHyphen/>
        <w:t xml:space="preserve">дений ДНК) получили наименование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первичных или липидных радиотоксинов.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К первичным радиотоксинам относят гидропе- 1&gt;скиси, перекиси, эпоксиды, альдегиды и кетоны, а также обна</w:t>
        <w:softHyphen/>
        <w:t>руживаемые в облучаемых клетках хиноны и семихиноны — продукты окисления фенолов.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64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Следует отметить, что оксидативная деградация биологиче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ских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мембран и ДНК не ограничивается действием продуктов перекисного окисления липидов (липидных радиотоксинов). Так же, как и другие клеточные элементы, мембраны и ДНК мо-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iyr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быть непосредственно атакованы различными водо- и жиро</w:t>
        <w:softHyphen/>
        <w:t>растворимыми прооксидантами, краткая характеристика кото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рых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 их содержание в интактной клетке представлены в табл. 3.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64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Изменения структуры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углеводов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наблюдаются преимущест</w:t>
        <w:softHyphen/>
        <w:t xml:space="preserve">венно при воздействии высоких доз ионизирующих излучений. Они сводятся к деполимеризации и окислению полисахаридов, что приводит к распаду углеводородной цепи и образованию иислоты формальдегида. Среди продуктов распада углеводов мо-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iyr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обнаруживаться глиоксаль и глюкуроновые кислоты. Дово</w:t>
        <w:softHyphen/>
        <w:t>льно существенное значение для развития изменений в соедини</w:t>
        <w:softHyphen/>
        <w:t>тельнотканных структурах имеет распад мукополисахаридов, в частности гиалуроновой кислоты.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64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Доля поврежденных биомолекул положительно связана с их молекулярной массой. Например, после облучения в дозе 10 Гр в клетке оказываются поврежденными 0,015% молекул олигосаха</w:t>
        <w:softHyphen/>
        <w:t>ридов, 0,023% — нуклеотидов, 0,36% — аминокислот. Для бел</w:t>
        <w:softHyphen/>
        <w:t>ков в растворенном состоянии при той же дозе это число состав</w:t>
        <w:softHyphen/>
        <w:t>ляет 1 на 100 молекул, а для ДНК — 220 на 1 молекулу. У ДНК, находящейся в составе надмолекулярных структур, в каждой мо</w:t>
        <w:softHyphen/>
        <w:t>лекуле оказываются пораженными около 10 нуклеотидов.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64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Радиационные повреждения биомолекул и надмолекулярных структур не могут не сказаться на ходе метаболических процес</w:t>
        <w:softHyphen/>
        <w:t>сов, в которых участвуют эти структуры. Искажение этих про</w:t>
        <w:softHyphen/>
        <w:t>цессов может привести к появлению новых структурных по</w:t>
        <w:softHyphen/>
        <w:t>вреждений, новых «поломок», которые, в свою очередь, могут инициировать новые метаболические нарушения и т. д.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64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045" w:right="226" w:bottom="661" w:left="34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Так, например, нарушения структуры нуклеотидов и их по</w:t>
        <w:softHyphen/>
        <w:t>следовательностей в ДНК и РНК могут привести к дефициту не</w:t>
        <w:softHyphen/>
        <w:t>обходимых для нормальной жизнедеятельности продуктов мат</w:t>
        <w:softHyphen/>
        <w:t>ричного синтеза, а также к наработке несвойственных клетке,</w:t>
      </w:r>
    </w:p>
    <w:p>
      <w:pPr>
        <w:widowControl w:val="0"/>
      </w:pPr>
    </w:p>
    <w:tbl>
      <w:tblPr>
        <w:tblOverlap w:val="never"/>
        <w:jc w:val="center"/>
        <w:tblLayout w:type="fixed"/>
      </w:tblPr>
      <w:tblGrid>
        <w:gridCol w:w="2914"/>
        <w:gridCol w:w="715"/>
        <w:gridCol w:w="1066"/>
        <w:gridCol w:w="1022"/>
        <w:gridCol w:w="2117"/>
      </w:tblGrid>
      <w:tr>
        <w:trPr>
          <w:trHeight w:val="1421" w:hRule="exact"/>
        </w:trPr>
        <w:tc>
          <w:tcPr>
            <w:gridSpan w:val="5"/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tabs>
                <w:tab w:pos="7032" w:val="left"/>
              </w:tabs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i/>
                <w:iCs/>
                <w:color w:val="282828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■</w:t>
              <w:tab/>
            </w:r>
            <w:r>
              <w:rPr>
                <w:rFonts w:ascii="Arial" w:eastAsia="Arial" w:hAnsi="Arial" w:cs="Arial"/>
                <w:i/>
                <w:i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Таблица 3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tabs>
                <w:tab w:pos="2275" w:val="left"/>
              </w:tabs>
              <w:bidi w:val="0"/>
              <w:spacing w:before="0" w:after="0" w:line="240" w:lineRule="auto"/>
              <w:ind w:left="0" w:right="0" w:firstLine="0"/>
              <w:jc w:val="left"/>
              <w:rPr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282828"/>
                <w:spacing w:val="0"/>
                <w:w w:val="100"/>
                <w:position w:val="0"/>
                <w:sz w:val="18"/>
                <w:szCs w:val="18"/>
                <w:shd w:val="clear" w:color="auto" w:fill="auto"/>
                <w:lang w:val="ru-RU" w:eastAsia="ru-RU" w:bidi="ru-RU"/>
              </w:rPr>
              <w:t>И</w:t>
              <w:tab/>
            </w: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8"/>
                <w:szCs w:val="18"/>
                <w:shd w:val="clear" w:color="auto" w:fill="auto"/>
                <w:lang w:val="ru-RU" w:eastAsia="ru-RU" w:bidi="ru-RU"/>
              </w:rPr>
              <w:t>Содержание и некоторые характеристики оксидантов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33" w:lineRule="auto"/>
              <w:ind w:left="2680" w:right="0" w:firstLine="0"/>
              <w:jc w:val="left"/>
              <w:rPr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8"/>
                <w:szCs w:val="18"/>
                <w:shd w:val="clear" w:color="auto" w:fill="auto"/>
                <w:lang w:val="ru-RU" w:eastAsia="ru-RU" w:bidi="ru-RU"/>
              </w:rPr>
              <w:t xml:space="preserve">в интактной клетке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7"/>
                <w:szCs w:val="17"/>
                <w:shd w:val="clear" w:color="auto" w:fill="auto"/>
                <w:lang w:val="ru-RU" w:eastAsia="ru-RU" w:bidi="ru-RU"/>
              </w:rPr>
              <w:t>(по Ю. Б. Кудряшову, 2001)</w:t>
            </w:r>
          </w:p>
        </w:tc>
      </w:tr>
      <w:tr>
        <w:trPr>
          <w:trHeight w:val="614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188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Название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Символ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Содержание в клетке (в норме), М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Полупериод жизни, с (при 37° С)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120" w:after="0" w:line="254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Реакционная способность</w:t>
            </w:r>
          </w:p>
        </w:tc>
      </w:tr>
      <w:tr>
        <w:trPr>
          <w:trHeight w:val="1022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tabs>
                <w:tab w:pos="1608" w:val="left"/>
              </w:tabs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282828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■</w:t>
              <w:tab/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Молекулярный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160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кислород (в основном триплетном состоянии)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2SgO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bscript"/>
                <w:lang w:val="en-US" w:eastAsia="en-US" w:bidi="en-US"/>
              </w:rPr>
              <w:t>2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[10-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6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]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&gt; 10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2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24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Слабый окислитель, </w:t>
            </w:r>
            <w:r>
              <w:rPr>
                <w:rFonts w:ascii="Arial" w:eastAsia="Arial" w:hAnsi="Arial" w:cs="Arial"/>
                <w:color w:val="8A8A8A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&gt;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высокая способность к диффузии</w:t>
            </w:r>
          </w:p>
        </w:tc>
      </w:tr>
      <w:tr>
        <w:trPr>
          <w:trHeight w:val="269" w:hRule="exact"/>
        </w:trPr>
        <w:tc>
          <w:tcPr>
            <w:gridSpan w:val="5"/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328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Активные формы кислорода (АФК)</w:t>
            </w:r>
          </w:p>
        </w:tc>
      </w:tr>
      <w:tr>
        <w:trPr>
          <w:trHeight w:val="446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tabs>
                <w:tab w:pos="1603" w:val="left"/>
              </w:tabs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color w:val="282828"/>
                <w:spacing w:val="0"/>
                <w:w w:val="100"/>
                <w:position w:val="0"/>
                <w:sz w:val="18"/>
                <w:szCs w:val="18"/>
                <w:shd w:val="clear" w:color="auto" w:fill="auto"/>
                <w:lang w:val="ru-RU" w:eastAsia="ru-RU" w:bidi="ru-RU"/>
              </w:rPr>
              <w:t>^Й</w:t>
              <w:tab/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Супероксид-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160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анион-радикал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20"/>
                <w:szCs w:val="20"/>
                <w:shd w:val="clear" w:color="auto" w:fill="auto"/>
                <w:lang w:val="ru-RU" w:eastAsia="ru-RU" w:bidi="ru-RU"/>
              </w:rPr>
              <w:t>о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20"/>
                <w:szCs w:val="20"/>
                <w:shd w:val="clear" w:color="auto" w:fill="auto"/>
                <w:vertAlign w:val="subscript"/>
                <w:lang w:val="ru-RU" w:eastAsia="ru-RU" w:bidi="ru-RU"/>
              </w:rPr>
              <w:t>2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20"/>
                <w:szCs w:val="20"/>
                <w:shd w:val="clear" w:color="auto" w:fill="auto"/>
                <w:lang w:val="ru-RU" w:eastAsia="ru-RU" w:bidi="ru-RU"/>
              </w:rPr>
              <w:t>-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[10-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11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]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10-6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Восстановитель (плохой окислитель)</w:t>
            </w:r>
          </w:p>
        </w:tc>
      </w:tr>
      <w:tr>
        <w:trPr>
          <w:trHeight w:val="442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tabs>
                <w:tab w:pos="1550" w:val="left"/>
              </w:tabs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color w:val="282828"/>
                <w:spacing w:val="0"/>
                <w:w w:val="100"/>
                <w:position w:val="0"/>
                <w:sz w:val="18"/>
                <w:szCs w:val="18"/>
                <w:shd w:val="clear" w:color="auto" w:fill="auto"/>
                <w:lang w:val="ru-RU" w:eastAsia="ru-RU" w:bidi="ru-RU"/>
              </w:rPr>
              <w:t>^Й</w:t>
              <w:tab/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Пергидроксил-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tabs>
                <w:tab w:pos="1550" w:val="left"/>
              </w:tabs>
              <w:bidi w:val="0"/>
              <w:spacing w:before="0" w:after="0" w:line="221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color w:val="282828"/>
                <w:spacing w:val="0"/>
                <w:w w:val="100"/>
                <w:position w:val="0"/>
                <w:sz w:val="18"/>
                <w:szCs w:val="18"/>
                <w:shd w:val="clear" w:color="auto" w:fill="auto"/>
                <w:lang w:val="ru-RU" w:eastAsia="ru-RU" w:bidi="ru-RU"/>
              </w:rPr>
              <w:t>^й</w:t>
              <w:tab/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радикал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20"/>
                <w:szCs w:val="20"/>
                <w:shd w:val="clear" w:color="auto" w:fill="auto"/>
                <w:lang w:val="ru-RU" w:eastAsia="ru-RU" w:bidi="ru-RU"/>
              </w:rPr>
              <w:t>но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20"/>
                <w:szCs w:val="20"/>
                <w:shd w:val="clear" w:color="auto" w:fill="auto"/>
                <w:vertAlign w:val="subscript"/>
                <w:lang w:val="ru-RU" w:eastAsia="ru-RU" w:bidi="ru-RU"/>
              </w:rPr>
              <w:t>2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20"/>
                <w:szCs w:val="20"/>
                <w:shd w:val="clear" w:color="auto" w:fill="auto"/>
                <w:lang w:val="ru-RU" w:eastAsia="ru-RU" w:bidi="ru-RU"/>
              </w:rPr>
              <w:t>-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[10-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11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]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10-6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Окислитель, способен растворяться в липидах</w:t>
            </w:r>
          </w:p>
        </w:tc>
      </w:tr>
      <w:tr>
        <w:trPr>
          <w:trHeight w:val="446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tabs>
                <w:tab w:pos="1555" w:val="left"/>
              </w:tabs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color w:val="282828"/>
                <w:spacing w:val="0"/>
                <w:w w:val="100"/>
                <w:position w:val="0"/>
                <w:sz w:val="18"/>
                <w:szCs w:val="18"/>
                <w:shd w:val="clear" w:color="auto" w:fill="auto"/>
                <w:lang w:val="ru-RU" w:eastAsia="ru-RU" w:bidi="ru-RU"/>
              </w:rPr>
              <w:t>^Й</w:t>
              <w:tab/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Синглетный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tabs>
                <w:tab w:pos="1555" w:val="left"/>
              </w:tabs>
              <w:bidi w:val="0"/>
              <w:spacing w:before="0" w:after="0" w:line="18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282828"/>
                <w:spacing w:val="0"/>
                <w:w w:val="100"/>
                <w:position w:val="0"/>
                <w:sz w:val="34"/>
                <w:szCs w:val="34"/>
                <w:shd w:val="clear" w:color="auto" w:fill="auto"/>
                <w:lang w:val="ru-RU" w:eastAsia="ru-RU" w:bidi="ru-RU"/>
              </w:rPr>
              <w:t>Ц</w:t>
              <w:tab/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кислород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■О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bscript"/>
                <w:lang w:val="ru-RU" w:eastAsia="ru-RU" w:bidi="ru-RU"/>
              </w:rPr>
              <w:t>2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[10-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11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]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10-6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4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Сильный окислитель</w:t>
            </w:r>
          </w:p>
        </w:tc>
      </w:tr>
      <w:tr>
        <w:trPr>
          <w:trHeight w:val="638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tabs>
                <w:tab w:pos="1546" w:val="left"/>
              </w:tabs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282828"/>
                <w:spacing w:val="0"/>
                <w:w w:val="100"/>
                <w:position w:val="0"/>
                <w:sz w:val="34"/>
                <w:szCs w:val="34"/>
                <w:shd w:val="clear" w:color="auto" w:fill="auto"/>
                <w:lang w:val="ru-RU" w:eastAsia="ru-RU" w:bidi="ru-RU"/>
              </w:rPr>
              <w:t>й</w:t>
              <w:tab/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Перекись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tabs>
                <w:tab w:pos="1546" w:val="left"/>
              </w:tabs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282828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■</w:t>
              <w:tab/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водорода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bscript"/>
                <w:lang w:val="ru-RU" w:eastAsia="ru-RU" w:bidi="ru-RU"/>
              </w:rPr>
              <w:t>2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bscript"/>
                <w:lang w:val="ru-RU" w:eastAsia="ru-RU" w:bidi="ru-RU"/>
              </w:rPr>
              <w:t>2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[10-8]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10-100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Выраженный окислитель. Способность к диффузии и оксидазной модификации</w:t>
            </w:r>
          </w:p>
        </w:tc>
      </w:tr>
      <w:tr>
        <w:trPr>
          <w:trHeight w:val="1022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tabs>
                <w:tab w:pos="1555" w:val="left"/>
              </w:tabs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282828"/>
                <w:spacing w:val="0"/>
                <w:w w:val="100"/>
                <w:position w:val="0"/>
                <w:sz w:val="34"/>
                <w:szCs w:val="34"/>
                <w:shd w:val="clear" w:color="auto" w:fill="auto"/>
                <w:lang w:val="ru-RU" w:eastAsia="ru-RU" w:bidi="ru-RU"/>
              </w:rPr>
              <w:t>1</w:t>
              <w:tab/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г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180" w:lineRule="auto"/>
              <w:ind w:left="160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Г ид рокси д</w:t>
              <w:softHyphen/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tabs>
                <w:tab w:pos="1555" w:val="left"/>
              </w:tabs>
              <w:bidi w:val="0"/>
              <w:spacing w:before="0" w:after="0" w:line="18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282828"/>
                <w:spacing w:val="0"/>
                <w:w w:val="100"/>
                <w:position w:val="0"/>
                <w:sz w:val="34"/>
                <w:szCs w:val="34"/>
                <w:shd w:val="clear" w:color="auto" w:fill="auto"/>
                <w:lang w:val="ru-RU" w:eastAsia="ru-RU" w:bidi="ru-RU"/>
              </w:rPr>
              <w:t>И</w:t>
              <w:tab/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радикал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20"/>
                <w:szCs w:val="20"/>
                <w:shd w:val="clear" w:color="auto" w:fill="auto"/>
                <w:lang w:val="ru-RU" w:eastAsia="ru-RU" w:bidi="ru-RU"/>
              </w:rPr>
              <w:t>он-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&lt;[10"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11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]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10-9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Очень сильный окислитель. Высокая оксидазная активность. Диффундирует на очень короткие расстояния</w:t>
            </w:r>
          </w:p>
        </w:tc>
      </w:tr>
      <w:tr>
        <w:trPr>
          <w:trHeight w:val="269" w:hRule="exact"/>
        </w:trPr>
        <w:tc>
          <w:tcPr>
            <w:gridSpan w:val="5"/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412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Оксиды азота</w:t>
            </w:r>
          </w:p>
        </w:tc>
      </w:tr>
      <w:tr>
        <w:trPr>
          <w:trHeight w:val="826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2" w:lineRule="auto"/>
              <w:ind w:left="160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Моноксид азота-радикал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NO'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[10^]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0,1-6,4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Очень сильный окислитель. Высокая способность к диффузии и оксидазной модификации</w:t>
            </w:r>
          </w:p>
        </w:tc>
      </w:tr>
      <w:tr>
        <w:trPr>
          <w:trHeight w:val="830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160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Пероксинитрит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</w:pPr>
            <w:r>
              <w:rPr>
                <w:smallCaps/>
                <w:spacing w:val="0"/>
                <w:w w:val="100"/>
                <w:position w:val="0"/>
                <w:shd w:val="clear" w:color="auto" w:fill="auto"/>
                <w:lang w:val="en-US" w:eastAsia="en-US" w:bidi="en-US"/>
              </w:rPr>
              <w:t>ono</w:t>
            </w:r>
            <w:r>
              <w:rPr>
                <w:smallCaps/>
                <w:spacing w:val="0"/>
                <w:w w:val="100"/>
                <w:position w:val="0"/>
                <w:shd w:val="clear" w:color="auto" w:fill="auto"/>
                <w:vertAlign w:val="subscript"/>
                <w:lang w:val="en-US" w:eastAsia="en-US" w:bidi="en-US"/>
              </w:rPr>
              <w:t>2</w:t>
            </w:r>
            <w:r>
              <w:rPr>
                <w:smallCaps/>
                <w:spacing w:val="0"/>
                <w:w w:val="100"/>
                <w:position w:val="0"/>
                <w:shd w:val="clear" w:color="auto" w:fill="auto"/>
                <w:lang w:val="en-US" w:eastAsia="en-US" w:bidi="en-US"/>
              </w:rPr>
              <w:t>-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&lt; [10-6]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1-2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Очень сильный окислитель. Высокая способность к диффузии и оксидазной модификации</w:t>
            </w:r>
          </w:p>
        </w:tc>
      </w:tr>
      <w:tr>
        <w:trPr>
          <w:trHeight w:val="264" w:hRule="exact"/>
        </w:trPr>
        <w:tc>
          <w:tcPr>
            <w:gridSpan w:val="5"/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268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Продукты перекисного окисления липидов (ПОЛ)</w:t>
            </w:r>
          </w:p>
        </w:tc>
      </w:tr>
      <w:tr>
        <w:trPr>
          <w:trHeight w:val="638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160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Апкоксил- радикал (липидный)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LO-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[Ю-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6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]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io-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en-US" w:eastAsia="en-US" w:bidi="en-US"/>
              </w:rPr>
              <w:t>6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Окислитель, первичное инициирование цепной реакции ПОЛ</w:t>
            </w:r>
          </w:p>
        </w:tc>
      </w:tr>
      <w:tr>
        <w:trPr>
          <w:trHeight w:val="638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4" w:lineRule="auto"/>
              <w:ind w:left="160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Пероксил- радикал (липидный)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</w:pPr>
            <w:r>
              <w:rPr>
                <w:smallCaps/>
                <w:spacing w:val="0"/>
                <w:w w:val="100"/>
                <w:position w:val="0"/>
                <w:shd w:val="clear" w:color="auto" w:fill="auto"/>
                <w:lang w:val="en-US" w:eastAsia="en-US" w:bidi="en-US"/>
              </w:rPr>
              <w:t>lo</w:t>
            </w:r>
            <w:r>
              <w:rPr>
                <w:smallCaps/>
                <w:spacing w:val="0"/>
                <w:w w:val="100"/>
                <w:position w:val="0"/>
                <w:shd w:val="clear" w:color="auto" w:fill="auto"/>
                <w:vertAlign w:val="subscript"/>
                <w:lang w:val="en-US" w:eastAsia="en-US" w:bidi="en-US"/>
              </w:rPr>
              <w:t>2</w:t>
            </w:r>
            <w:r>
              <w:rPr>
                <w:smallCaps/>
                <w:spacing w:val="0"/>
                <w:w w:val="100"/>
                <w:position w:val="0"/>
                <w:shd w:val="clear" w:color="auto" w:fill="auto"/>
                <w:lang w:val="en-US" w:eastAsia="en-US" w:bidi="en-US"/>
              </w:rPr>
              <w:t>-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[10-6]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10-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2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Умеренный окислитель, инициирование цепной реакции ПОЛ</w:t>
            </w:r>
          </w:p>
        </w:tc>
      </w:tr>
      <w:tr>
        <w:trPr>
          <w:trHeight w:val="955" w:hRule="exact"/>
        </w:trPr>
        <w:tc>
          <w:tcPr>
            <w:tcBorders>
              <w:top w:val="single" w:sz="4"/>
              <w:left w:val="single" w:sz="4"/>
              <w:bottom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tabs>
                <w:tab w:pos="1608" w:val="left"/>
              </w:tabs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282828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И</w:t>
              <w:tab/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160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Липидные радиотоксины — продукты ПОЛ</w:t>
            </w:r>
          </w:p>
        </w:tc>
        <w:tc>
          <w:tcPr>
            <w:tcBorders>
              <w:top w:val="single" w:sz="4"/>
              <w:left w:val="single" w:sz="4"/>
              <w:bottom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LOOH R—LO2 R-LO</w:t>
            </w:r>
          </w:p>
        </w:tc>
        <w:tc>
          <w:tcPr>
            <w:tcBorders>
              <w:top w:val="single" w:sz="4"/>
              <w:left w:val="single" w:sz="4"/>
              <w:bottom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[10-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6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]</w:t>
            </w:r>
          </w:p>
        </w:tc>
        <w:tc>
          <w:tcPr>
            <w:tcBorders>
              <w:top w:val="single" w:sz="4"/>
              <w:left w:val="single" w:sz="4"/>
              <w:bottom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1(Г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2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-1</w:t>
            </w:r>
          </w:p>
        </w:tc>
        <w:tc>
          <w:tcPr>
            <w:tcBorders>
              <w:top w:val="single" w:sz="4"/>
              <w:left w:val="single" w:sz="4"/>
              <w:bottom w:val="single" w:sz="4"/>
              <w:righ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Выраженные окислители, высокая способность к диффузии и оксидазной модификации</w:t>
            </w:r>
          </w:p>
        </w:tc>
      </w:tr>
    </w:tbl>
    <w:p>
      <w:pPr>
        <w:widowControl w:val="0"/>
        <w:sectPr>
          <w:footerReference w:type="default" r:id="rId90"/>
          <w:footerReference w:type="even" r:id="rId91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64" w:right="455" w:bottom="164" w:left="111" w:header="0" w:footer="3" w:gutter="0"/>
          <w:cols w:space="720"/>
          <w:noEndnote/>
          <w:rtlGutter w:val="0"/>
          <w:docGrid w:linePitch="360"/>
        </w:sectPr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640" w:right="0" w:firstLine="20"/>
        <w:jc w:val="both"/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чужих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 вредных для нее продуктов. Нарушение структуры бел</w:t>
        <w:softHyphen/>
        <w:t>ков-ферментов приводит к замедлению или извращению фер</w:t>
        <w:softHyphen/>
        <w:t>ментативных реакций, накоплению аномальных метаболитов, которые могут оказаться токсичными для клетки. Повреждения и и пидов внутриклеточных мембран инициируют нарушения ппоницаемости этих мембран и приводят к снижению внутри</w:t>
        <w:softHyphen/>
        <w:t xml:space="preserve">клеточных градиентов концентраций различных метаболитов, подавлению функций связанных с мембранами ферментов. В результате всей совокупности этих процессов могут возникнуть серьезные нарушения жизнедеятельности и даже гибель клетки. Такой ход событий получил наименование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биологического усиле</w:t>
        <w:softHyphen/>
        <w:t>ния первичного радиационного повреждения.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64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Практически сразу после облучения в делящихся клетках за</w:t>
        <w:softHyphen/>
        <w:t xml:space="preserve">медляется синтез ДНК, активируются эндо- и экзонуклеазы, вследствие чего повышается ферментативный гидролиз молекул ядерной ДНК. Увеличение проницаемости внутриклеточных мембран способствует поступлению ферментов во внутриядерное пространство, вследствие чего повышается доступность ядерной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ДНК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ферментативной атаки. Следующий за этим распад ДНК приводит к повышению содержания в тканях полидезокси</w:t>
        <w:softHyphen/>
        <w:t>нуклеотидов и продуктов их разрушения — азотистых основа</w:t>
        <w:softHyphen/>
        <w:t>ний, нуклеозидов, мочевой кислоты и др.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64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Повреждение мембран лизосом и выход за их пределы проте</w:t>
        <w:softHyphen/>
        <w:t>аз способствуют активации процессов протеолиза. Эта актива</w:t>
        <w:softHyphen/>
        <w:t>ция проявляется повышением уровня свободных аминокислот и других аминосоединений в тканях и жидкостях организма, ами</w:t>
        <w:softHyphen/>
        <w:t>ноацидурией, развитием отрицательного азотистого баланса. В крови, тканях, моче повышается активность протеолитических ферментов, нарушается активность ингибиторов протеаз.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64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Продолжающийся синтез белка в сочетании с глубоким сни</w:t>
        <w:softHyphen/>
        <w:t>жением или даже прекращением синтеза ДНК может привести к серьезным нарушениям структуры и пространственной органи</w:t>
        <w:softHyphen/>
        <w:t xml:space="preserve">зации нуклеопротеидных комплексов. Распад комплекса ДНК- </w:t>
      </w:r>
      <w:r>
        <w:rPr>
          <w:smallCaps/>
          <w:spacing w:val="0"/>
          <w:w w:val="100"/>
          <w:position w:val="0"/>
          <w:shd w:val="clear" w:color="auto" w:fill="auto"/>
          <w:lang w:val="en-US" w:eastAsia="en-US" w:bidi="en-US"/>
        </w:rPr>
        <w:t>iuctoh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облегчает доступ мутагенов к освобожденным от связей с белком участкам ДНК.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640" w:right="0"/>
        <w:jc w:val="both"/>
        <w:sectPr>
          <w:footerReference w:type="default" r:id="rId92"/>
          <w:footerReference w:type="even" r:id="rId93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38" w:right="226" w:bottom="744" w:left="34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высокорадиочувствительных клетках и тканях уже после облучения в сравнительно невысоких дозах отмечается наруше</w:t>
        <w:softHyphen/>
        <w:t>ние окислительного фосфорилирования. Нарушение синтеза макроэргов в дальнейшем может сказаться на развитии восста</w:t>
        <w:softHyphen/>
        <w:t>новительных процессов, в частности на работе системы фермен-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156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тов репарации ДНК. Все эти процессы и приводят к биологиче</w:t>
        <w:softHyphen/>
        <w:t>скому усилению первичного радиационного поражения.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156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 другой стороны, может произойти восстановление от воз</w:t>
        <w:softHyphen/>
        <w:t>никших дефектов путем удаления из клетки поврежденных струк</w:t>
        <w:softHyphen/>
        <w:t xml:space="preserve">тур или их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репарации,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что обеспечит нормализацию состояния клетки. Естественно, чем выше доза облучения, тем больше воз</w:t>
        <w:softHyphen/>
        <w:t>никло повреждений и тем меньше вероятность восстановления от этих повреждений.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156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Уже в ранние сроки после облучения в ответ на возникшие первичные повреждения в облученной клетке активируются ре</w:t>
        <w:softHyphen/>
        <w:t>парационные системы, деятельность которых направлена на устранение возникших повреждений. Наиболее важной из них является система ферментативной репарации повреждений ДНК. Повреждения биомолекул других типов чаще всего не являются фатальными для клетки: продукты их распада могут быть удале</w:t>
        <w:softHyphen/>
        <w:t>ны из клетки, а функцию инактивированных соединений могут взять на себя сохранившиеся молекулы того же строения. Моле</w:t>
        <w:softHyphen/>
        <w:t>кулы ДНК уникальны, и в случае повреждения их функция не может быть продублирована. При репликации нарушенных мат</w:t>
        <w:softHyphen/>
        <w:t>риц будут воспроизводиться дефектные копии — будут синтези</w:t>
        <w:softHyphen/>
        <w:t>роваться аномальные продукты, например ферменты с изменен</w:t>
        <w:softHyphen/>
        <w:t>ными характеристиками. Поэтому возникшие в результате облу</w:t>
        <w:softHyphen/>
        <w:t>чения повреждения ДНК, во избежание развития тяжелых для клетки последствий, должны быть репарированы таким образом, чтобы исходное строение этого чрезвычайно сложно устроенно</w:t>
        <w:softHyphen/>
        <w:t>го биополимера было точно восстановлено. В клетке существуют системы нескольких типов, способные репарировать большин</w:t>
        <w:softHyphen/>
        <w:t>ство нарушений структуры ДНК, связанных с повреждением од</w:t>
        <w:softHyphen/>
        <w:t>ной из комплементарных цепей и даже значительной частью по</w:t>
        <w:softHyphen/>
        <w:t>вреждений, захватывающих обе нити. Однако избыточная ак</w:t>
        <w:softHyphen/>
        <w:t>тивность ферментов, обеспечивающих такую репарацию, может иногда привести к утяжелению повреждения генома клетки. Так, репарация повреждений ДНК представляет собой весьма энергоемкий процесс, в ходе которого расходуется значительное количество АТФ. Кроме того, в процессе репарации интенсивно потребляется АДФ, что снижает продукцию АТФ клетками. Воз</w:t>
        <w:softHyphen/>
        <w:t>никающий в результате дефицит макроэргов может отрицатель</w:t>
        <w:softHyphen/>
        <w:t>но сказаться на функциях особенно чувствительных к нему нер</w:t>
        <w:softHyphen/>
        <w:t>вных клеток.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156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033" w:right="413" w:bottom="706" w:left="15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Существование в клетках механизмов и ферментных систем, обеспечивающих репарацию большинства начальных поврежде-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520" w:line="228" w:lineRule="auto"/>
        <w:ind w:left="0" w:right="0" w:firstLine="0"/>
        <w:jc w:val="both"/>
      </w:pPr>
      <w:bookmarkStart w:id="27" w:name="bookmark27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ний ДНК, эволюционно обусловлено необходимостью поддер</w:t>
        <w:softHyphen/>
        <w:t>жания стабильности генома, в условиях постоянно возникаю</w:t>
        <w:softHyphen/>
        <w:t>щих повреждений ДНК в результате воздействия естественного радиационного фона, присутствия в среде химических мутаге</w:t>
        <w:softHyphen/>
        <w:t>нов, случайно возникающих в процессе жизнедеятельности кле</w:t>
        <w:softHyphen/>
        <w:t>ток нарушений и сбоев. Если бы не было таких механизмов, жизнь была бы невозможна.</w:t>
      </w:r>
      <w:bookmarkEnd w:id="27"/>
    </w:p>
    <w:p>
      <w:pPr>
        <w:pStyle w:val="Style44"/>
        <w:keepNext/>
        <w:keepLines/>
        <w:widowControl w:val="0"/>
        <w:numPr>
          <w:ilvl w:val="1"/>
          <w:numId w:val="35"/>
        </w:numPr>
        <w:shd w:val="clear" w:color="auto" w:fill="auto"/>
        <w:tabs>
          <w:tab w:pos="648" w:val="left"/>
        </w:tabs>
        <w:bidi w:val="0"/>
        <w:spacing w:before="0" w:line="228" w:lineRule="auto"/>
        <w:ind w:left="0" w:right="0" w:firstLine="0"/>
        <w:jc w:val="center"/>
      </w:pPr>
      <w:bookmarkStart w:id="28" w:name="bookmark28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РЕАКЦИИ КЛЕТОК И ТКАНЕЙ НА ОБЛУЧЕНИЕ</w:t>
      </w:r>
      <w:bookmarkEnd w:id="28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Судьба облученной клетки определяется соотношением эффек</w:t>
        <w:softHyphen/>
        <w:t>тивности процессов биологического усиления и репарации. Чем выше доза облучения, тем выше вероятность того, что в резуль</w:t>
        <w:softHyphen/>
        <w:t>тате процессов биологического усиления появятся необратимые изменения, приводящие к гибели клетки, ее злокачественному перерождению, нарушению пролиферативной активности, огра</w:t>
        <w:softHyphen/>
        <w:t>ничению дифференцировочных потенций, снижению функцио</w:t>
        <w:softHyphen/>
        <w:t>нальных возможностей и т. п. Чем ниже доза, тем меньше по</w:t>
        <w:softHyphen/>
        <w:t>вреждений возникло в клетке и тем вероятнее восстановление от возникших повреждений, сохранение жизнеспособности и основных функций клетки.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Реакции клеток на облучение можно разделить на два основ</w:t>
        <w:softHyphen/>
        <w:t xml:space="preserve">ных типа: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летальные,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при которых клетка погибает (репродук</w:t>
        <w:softHyphen/>
        <w:t xml:space="preserve">тивная и интерфазная клеточная гибель),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нелетальные,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при которых клетки сохраняют свою жизнеспособность (радиацион</w:t>
        <w:softHyphen/>
        <w:t>ный блок митозов, формирование нелетальных мутаций, разви</w:t>
        <w:softHyphen/>
        <w:t>тие функциональных и метаболических нарушений в клетках). Схематично эти виды реакций представлены на рис. 10.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Во всех делящихся клетках сразу после облучения временно прекращается митотическая активность: развивается так назы</w:t>
        <w:softHyphen/>
        <w:t xml:space="preserve">ваемый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«радиационный блок митозов».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Длительность задержки деления тем больше, чем выше доза, однако обычно радиацион</w:t>
        <w:softHyphen/>
        <w:t>ный блок митозов продолжается не дольше суток. Блок митозов объясняют нарушением процессов, регулирующих клеточное де</w:t>
        <w:softHyphen/>
        <w:t>ление, в частности нарушением образования веретена, обеспе</w:t>
        <w:softHyphen/>
        <w:t>чивающего расхождение хромосом в митозе.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28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028" w:right="943" w:bottom="684" w:left="117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Задержка деления в клетках активно пролиферирующих тка</w:t>
        <w:softHyphen/>
        <w:t>ней (таких, например, как костный мозг) является одной из су</w:t>
        <w:softHyphen/>
        <w:t>щественных причин опустошения этих тканей. В то же время торможение процесса деления объективно может благоприятно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938270" cy="2091055"/>
            <wp:docPr id="137" name="Picutre 13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Picture 137"/>
                    <pic:cNvPicPr/>
                  </pic:nvPicPr>
                  <pic:blipFill>
                    <a:blip r:embed="rId94"/>
                    <a:stretch/>
                  </pic:blipFill>
                  <pic:spPr>
                    <a:xfrm>
                      <a:ext cx="3938270" cy="209105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8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254" w:right="0" w:firstLine="0"/>
        <w:jc w:val="lef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Рис. 10.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Основные виды реакций клеток на радиационное воздействие</w:t>
      </w:r>
    </w:p>
    <w:p>
      <w:pPr>
        <w:widowControl w:val="0"/>
        <w:spacing w:after="239" w:line="1" w:lineRule="exact"/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сказаться на судьбе облученной клетки, поскольку в результате увеличивается время для репарации лучевого повреждения до вступления клетки в митоз.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 выходе из блока митозов часть клеток, в которых не про</w:t>
        <w:softHyphen/>
        <w:t>изошла репарация постлучевых повреждений, подвергаются ги</w:t>
        <w:softHyphen/>
        <w:t xml:space="preserve">бели, причем с повышением дозы число погибающих клеток увеличивается. Различают две основные формы гибели клеток: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репродуктивную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(митотическую, постмитотическую), связанную с процессом клеточного деления,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интерфазную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— не завися</w:t>
        <w:softHyphen/>
        <w:t>щую от фаз клеточного цикла и наблюдаемую как в делящихся, так и в неделящихся клетках.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33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111" w:right="494" w:bottom="705" w:left="162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Нерепарированные повреждения ядерной ДНК и неправиль</w:t>
        <w:softHyphen/>
        <w:t>но воссоединенные разрывы цепей этого биополимера при фор</w:t>
        <w:softHyphen/>
        <w:t>мировании хромосом в процессе клеточного деления могут про</w:t>
        <w:softHyphen/>
        <w:t>явиться в качестве хромосомных аберраций. Наибольшее значе</w:t>
        <w:softHyphen/>
        <w:t>ние для возникновения аберраций придают двойным разрывам ДНК, повреждениям ДНК-мембранного комплекса, а также сшивкам между противоположными цепочками. При некоторых аберрациях пролиферирующая клетка длительно существовать не может, так как в митозе не происходит равномерного распре</w:t>
        <w:softHyphen/>
        <w:t>деления генетического материала между дочерними клетками (летальные аберрации). Если клетка имеет нерепарированные летальные повреждения ДНК, она может пройти через предше</w:t>
        <w:softHyphen/>
        <w:t>ствующие митозу фазы клеточного цикла, завершить подго-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гонку к делению, но в процессе самого митоза погибает. Чаще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। ибель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клетки происходит при первом после облучения делении,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реже —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 одном из последующих. Такая форма гибели клетки получила наименование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репродуктивной,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она, естественно, ха- рнктерна лишь для делящихся клеток.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Наступление гибели по репродуктивному типу во времени снязано с прохождением клетки через фазу митоза. При этой форме гибели именно во время самого митоза наличие хромо</w:t>
        <w:softHyphen/>
        <w:t>сомных аберраций не дает возможности осуществить равномер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ное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распределение генетического материала между дочерними клетками, в результате чего клетки погибают. Погибающие клетки ■ облученной популяции появляются вслед за возобновлением митотической активности. Если наступление этой фазы отодви</w:t>
        <w:softHyphen/>
        <w:t>нуть (даже таким повреждающим клетки фактором, как допол</w:t>
        <w:softHyphen/>
        <w:t>нительное облучение), отодвигается и время появления погиба</w:t>
        <w:softHyphen/>
        <w:t>ющих клеток.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Проявлением повреждения генетических структур клетки яв</w:t>
        <w:softHyphen/>
        <w:t>ляется также образование гигантских клеток, содержащих поли</w:t>
        <w:softHyphen/>
        <w:t>плоидные ядра. Их появление может быть связано с многократ</w:t>
        <w:softHyphen/>
        <w:t xml:space="preserve">ным прохождением клеткой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S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-фазы цикла без митоза или явить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ся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результатом слияния дочерних клеток. Гигантские клетки в большинстве случаев погибают при последующих делениях.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цитологическом исследовании репродуктивно погибаю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щие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клетки выявляются путем обнаружения в них хромосомных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>нберраций.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Вторым типом гибели клеток при облучении является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интер- фатая форма.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Различают три варианта интерфазной формы лу</w:t>
        <w:softHyphen/>
        <w:t>чевой гибели клеток:</w:t>
      </w:r>
    </w:p>
    <w:p>
      <w:pPr>
        <w:pStyle w:val="Style34"/>
        <w:keepNext w:val="0"/>
        <w:keepLines w:val="0"/>
        <w:widowControl w:val="0"/>
        <w:numPr>
          <w:ilvl w:val="0"/>
          <w:numId w:val="37"/>
        </w:numPr>
        <w:shd w:val="clear" w:color="auto" w:fill="auto"/>
        <w:tabs>
          <w:tab w:pos="604" w:val="left"/>
        </w:tabs>
        <w:bidi w:val="0"/>
        <w:spacing w:before="0" w:after="0" w:line="228" w:lineRule="auto"/>
        <w:ind w:left="58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Интерфазная гибель неделящихся клеток или клеток с ограниченной способностью к делению после облучения малыми дозами, порядка десятых долей — единиц грей. Так погибают малые лимфоциты, тимоциты, ооциты.</w:t>
      </w:r>
    </w:p>
    <w:p>
      <w:pPr>
        <w:pStyle w:val="Style34"/>
        <w:keepNext w:val="0"/>
        <w:keepLines w:val="0"/>
        <w:widowControl w:val="0"/>
        <w:numPr>
          <w:ilvl w:val="0"/>
          <w:numId w:val="37"/>
        </w:numPr>
        <w:shd w:val="clear" w:color="auto" w:fill="auto"/>
        <w:tabs>
          <w:tab w:pos="619" w:val="left"/>
        </w:tabs>
        <w:bidi w:val="0"/>
        <w:spacing w:before="0" w:after="0" w:line="228" w:lineRule="auto"/>
        <w:ind w:left="58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Интерфазная гибель после облучения в дозах порядка де</w:t>
        <w:softHyphen/>
        <w:t>сятков и сотен грей неделящихся (нейроны, миоциты) или редко делящихся (гепатоциты) клеток.</w:t>
      </w:r>
    </w:p>
    <w:p>
      <w:pPr>
        <w:pStyle w:val="Style34"/>
        <w:keepNext w:val="0"/>
        <w:keepLines w:val="0"/>
        <w:widowControl w:val="0"/>
        <w:numPr>
          <w:ilvl w:val="0"/>
          <w:numId w:val="37"/>
        </w:numPr>
        <w:shd w:val="clear" w:color="auto" w:fill="auto"/>
        <w:tabs>
          <w:tab w:pos="619" w:val="left"/>
        </w:tabs>
        <w:bidi w:val="0"/>
        <w:spacing w:before="0" w:after="0" w:line="230" w:lineRule="auto"/>
        <w:ind w:left="58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Интерфазная гибель делящихся клеток после облучения высокими дозами до вступления в митоз.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Интерфазная гибель клеток после облучения может развива</w:t>
        <w:softHyphen/>
        <w:t>ться по двум основным типам: некроза и апоптоза.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72" w:right="1087" w:bottom="739" w:left="1039" w:header="0" w:footer="3" w:gutter="0"/>
          <w:cols w:space="720"/>
          <w:noEndnote/>
          <w:rtlGutter w:val="0"/>
          <w:docGrid w:linePitch="360"/>
        </w:sectPr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Некрозу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предшествует ряд изменений в клетках: нарушение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синтеза АТФ,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нарушение ядерного фосфорилирования, повыше-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drawing>
          <wp:anchor distT="0" distB="0" distL="114300" distR="114300" simplePos="0" relativeHeight="125829381" behindDoc="0" locked="0" layoutInCell="1" allowOverlap="1">
            <wp:simplePos x="0" y="0"/>
            <wp:positionH relativeFrom="page">
              <wp:posOffset>560705</wp:posOffset>
            </wp:positionH>
            <wp:positionV relativeFrom="margin">
              <wp:posOffset>0</wp:posOffset>
            </wp:positionV>
            <wp:extent cx="189230" cy="7668895"/>
            <wp:wrapSquare wrapText="bothSides"/>
            <wp:docPr id="138" name="Shape 13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Picture box 139"/>
                    <pic:cNvPicPr/>
                  </pic:nvPicPr>
                  <pic:blipFill>
                    <a:blip r:embed="rId96"/>
                    <a:stretch/>
                  </pic:blipFill>
                  <pic:spPr>
                    <a:xfrm>
                      <a:ext cx="189230" cy="766889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ние проницаемости плазматической и внутриклеточных мем</w:t>
        <w:softHyphen/>
        <w:t>бран, нарушение ионных градиентов в клетке, угнетение дыха</w:t>
        <w:softHyphen/>
        <w:t>ния, активация протеолитических ферментов, нарушения ядер- ных структур, проявляющиеся вторичной деградацией дезокси- рибонуклеопротеидного комплекса, лизисом или (реже) пикно- зом ядра, выбросом содержимого клеток во внеклеточную среду. То есть это как бы пассивная гибель клетки, когда в результате возникшего повреждения подавляются метаболические процес</w:t>
        <w:softHyphen/>
        <w:t>сы, утрачивается способность сохранять ионный гомеостаз.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При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апоптозе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(который наиболее характерен для клеток лим</w:t>
        <w:softHyphen/>
        <w:t>фоидной и кроветворной тканей) гибель облученных клеток со</w:t>
        <w:softHyphen/>
        <w:t>провождается деградацией ДНК по межнуклеосомным линкер</w:t>
        <w:softHyphen/>
        <w:t>ным участкам на фрагменты, размер которых кратен 180 парам нуклеотидов. Фрагменты распада ДНК — полидезоксинуклеоти</w:t>
        <w:softHyphen/>
        <w:t>ды частично поступают во внеклеточную среду. В клеточных мембранах появляются поперечные сшивки, в результате чего образуются окруженные фрагментами плазматической мембра</w:t>
        <w:softHyphen/>
        <w:t>ны мелкие пузырьки, содержащие фрагменты конденсирован</w:t>
        <w:softHyphen/>
        <w:t>ной ДНК и цитоплазмы. Эти пузырьки получили наименование «апоптотических телец». Апоптотические тельца могут быть фа</w:t>
        <w:softHyphen/>
        <w:t>гоцитированы макрофагами и эпителиальными клетками. Про</w:t>
        <w:softHyphen/>
        <w:t>цесс апоптоза запускается в ответ на различные (в том числе, на повреждающие ДНК или клеточные мембраны) стимулы, сигна</w:t>
        <w:softHyphen/>
        <w:t>лы от которых реализуются активацией определенных участков генома, например опухолевого супрессорного гена р53. Актива</w:t>
        <w:softHyphen/>
        <w:t>ция генома, в свою очередь, приводит к усиленному синтезу ферментов, функционирование которых и приводит клетку к са</w:t>
        <w:softHyphen/>
        <w:t>моуничтожению. Таким образом, апоптоз — это генетически опосредуемая программированная форма клеточной гибели.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Клетки, гибнущие интерфазным путем, удается выявить раз</w:t>
        <w:softHyphen/>
        <w:t>личными способами по морфологическим признакам некроза и апоптоза: по особенностям окраски при воздействии специаль</w:t>
        <w:softHyphen/>
        <w:t>ными красителями (эозин, эритрозин, акридин оранжевый), по поглощению радиоактивного хрома, по потреблению кислорода или подсчитывая количество клеточных ядер в органе (напри</w:t>
        <w:softHyphen/>
        <w:t>мер, в тимусе). Частота клеток с пикнотическими ядрами в кост</w:t>
        <w:softHyphen/>
        <w:t>ном мозге в ранние сроки после облучения хорошо коррелирует с дозой облучения.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578" w:h="12326"/>
          <w:pgMar w:top="240" w:right="331" w:bottom="630" w:left="196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Если в возникновении репродуктивной формы клеточной гибели первопричиной представляется повреждение уникальных структур ядерной ДНК, при интерфазной гибели в начальных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проявлениях существенна роль повреждений множественных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структур —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внутриклеточных мембран, нарушений клеточного метаболизма. Но и при интерфазной форме непосредственной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причиной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гибели клеток является деградация ядерного хромати</w:t>
        <w:softHyphen/>
        <w:t>не, т. е. повреждение генетического материала.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' Однако не все повреждения ядерной ДНК, вызванные облу</w:t>
        <w:softHyphen/>
        <w:t>чением, несовместимы с жизнеспособностью клетки. Если клет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ка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не делится, а поврежденный участок не связан с кодировани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ем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какого-либо необходимого для нормального функционирова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ния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клетки процесса, возникшее нарушение структуры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ДНК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может остаться сначала как бы «незамеченным». Однако это не исключает возможности развития в последующем на основе этих нарушений дефектов структуры и функции клетки.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Некоторые повреждения, например изменения структуры азотистых оснований или неточно репарированные разрывы,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могут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не привести к гибели и пролиферирующую клетку. Клетка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может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осуществить процесс деления и передать генетический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дефект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по наследству потомству. Такие нарушения структуры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ДНК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{нелетальные мутации)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соматических клетках могут при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нести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 нарушениям процессов клеточного деления, проявляю</w:t>
        <w:softHyphen/>
        <w:t>щимся, например, уменьшением пролиферативного потенциа</w:t>
        <w:softHyphen/>
        <w:t>ла, или явиться в последующем причиной злокачественной трансформации. Если мутации возникли в зародышевых клет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ках,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то они могут вызвать дефекты развития у потомства (генети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ческие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эффекты).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Большое значение среди причин злокачественного пере</w:t>
        <w:softHyphen/>
        <w:t>рождения клеток после облучения придают в настоящее время повышению нестабильности генома, связанному с репарацией ДНК. В процессе репарации возникают условия для внедрения в геном клетки онкогенов или активации онкогенов, уже пред- существовавших в составе клеточного генома в репрессирован</w:t>
        <w:softHyphen/>
        <w:t>ном состоянии.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77" w:right="873" w:bottom="714" w:left="1243" w:header="0" w:footer="3" w:gutter="0"/>
          <w:cols w:space="720"/>
          <w:noEndnote/>
          <w:rtlGutter w:val="0"/>
          <w:docGrid w:linePitch="360"/>
        </w:sectPr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К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функциональным нарушениям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клетках могут быть отнесе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ны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такие проявления, как снижение фагоцитарной активности нейтрофилов после облучения, изменения активности некото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рых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ферментов в этих клетках. При дозах облучения, превышаю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щих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несколько десятков грей, важным послелучевым эффектом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является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нарушение функциональной активности нервных кле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ток,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связанное с дефицитом макроэргов, в результате расходова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ния их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предшественников в процессе репарации разрывов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>ДНК.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Повреждение и гибель клеток, нарушение их пролиферации лежат в основе лучевого поражения тканей, органов, организма в целом.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Клетки разных типов и, соответственно, ткани, в состав кото</w:t>
        <w:softHyphen/>
        <w:t>рых они входят, весьма различаются по радиочувствительности. Если гибель лимфоцитов или костномозговых клеток удается за</w:t>
        <w:softHyphen/>
        <w:t>регистрировать после облучения в десятых долях грея, то мы</w:t>
        <w:softHyphen/>
        <w:t>шечные и нервные клетки выдерживают нередко дозы в десятки грей. Определенная закономерность в распределении тканей по радиочувствительности была отмечена еще в самом начале изуче</w:t>
        <w:softHyphen/>
        <w:t xml:space="preserve">ния биологического действия излучений, и сформулирована в 1906 году французскими учеными Бергонье и Трибондо в виде правила, согласно которому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ткани тем радиочувствительнее, чем больше пролиферативная активность составляющих их клеток, и тем радиорезистентнее, чем выше степень их дифференцировки.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Высокую радиочувствительность именно активно пролифе</w:t>
        <w:softHyphen/>
        <w:t>рирующих клеток связывают с особой ролью при облучении по</w:t>
        <w:softHyphen/>
        <w:t>вреждения уникальных структур ядерной ДНК. Эти поврежде</w:t>
        <w:softHyphen/>
        <w:t>ния наиболее фатальны для делящихся клеток, когда, если не произошло репарации, они проявляются в процессе митоза как хромосомные аберрации, несовместимые с дальнейшей жизне</w:t>
        <w:softHyphen/>
        <w:t>деятельностью. В этом и видят основную причину особой радио</w:t>
        <w:softHyphen/>
        <w:t>чувствительности пролиферирующих клеток.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Ткани и системы организма можно разделить на следующие группы:</w:t>
      </w:r>
    </w:p>
    <w:p>
      <w:pPr>
        <w:pStyle w:val="Style34"/>
        <w:keepNext w:val="0"/>
        <w:keepLines w:val="0"/>
        <w:widowControl w:val="0"/>
        <w:numPr>
          <w:ilvl w:val="0"/>
          <w:numId w:val="39"/>
        </w:numPr>
        <w:shd w:val="clear" w:color="auto" w:fill="auto"/>
        <w:tabs>
          <w:tab w:pos="566" w:val="left"/>
        </w:tabs>
        <w:bidi w:val="0"/>
        <w:spacing w:before="0" w:after="0" w:line="228" w:lineRule="auto"/>
        <w:ind w:left="500" w:right="0" w:hanging="16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высокорадиочувствительные: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лимфоидная ткань, костный мозг, эпителий желудочно-кишечного тракта, гонады, эмб</w:t>
        <w:softHyphen/>
        <w:t>рион;</w:t>
      </w:r>
    </w:p>
    <w:p>
      <w:pPr>
        <w:pStyle w:val="Style34"/>
        <w:keepNext w:val="0"/>
        <w:keepLines w:val="0"/>
        <w:widowControl w:val="0"/>
        <w:numPr>
          <w:ilvl w:val="0"/>
          <w:numId w:val="39"/>
        </w:numPr>
        <w:shd w:val="clear" w:color="auto" w:fill="auto"/>
        <w:tabs>
          <w:tab w:pos="566" w:val="left"/>
        </w:tabs>
        <w:bidi w:val="0"/>
        <w:spacing w:before="0" w:after="0" w:line="223" w:lineRule="auto"/>
        <w:ind w:left="500" w:right="0" w:hanging="16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среднерадиочувствительные: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кожные покровы, эндотелий сосудов, легкие, почки, печень, орган зрения;</w:t>
      </w:r>
    </w:p>
    <w:p>
      <w:pPr>
        <w:pStyle w:val="Style34"/>
        <w:keepNext w:val="0"/>
        <w:keepLines w:val="0"/>
        <w:widowControl w:val="0"/>
        <w:numPr>
          <w:ilvl w:val="0"/>
          <w:numId w:val="39"/>
        </w:numPr>
        <w:shd w:val="clear" w:color="auto" w:fill="auto"/>
        <w:tabs>
          <w:tab w:pos="566" w:val="left"/>
        </w:tabs>
        <w:bidi w:val="0"/>
        <w:spacing w:before="0" w:after="0" w:line="228" w:lineRule="auto"/>
        <w:ind w:left="500" w:right="0" w:hanging="16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низкорадиочувствительные: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центральная нервная система, мышцы, костная ткань, соединительная ткань.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57" w:right="340" w:bottom="784" w:left="178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 тканевом уровне острое радиационное поражение прояв</w:t>
        <w:softHyphen/>
        <w:t>ляется нарушениями структуры и функции, зависящими прежде всего от клеточного опустошения. Вследствие этого радиочувст</w:t>
        <w:softHyphen/>
        <w:t>вительность тканей определяется главным образом радиочувст</w:t>
        <w:softHyphen/>
        <w:t>вительностью составляющих эту ткань клеток. Однако при рас</w:t>
        <w:softHyphen/>
        <w:t>смотрении механизмов поражения тканей нельзя сбрасывать со счетов и опосредованные влияния со стороны других поражен</w:t>
        <w:softHyphen/>
        <w:t>ных радиацией тканей, и нарушения функций регулирующих систем — нервной, эндокринной.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I Радиочувствительность органа зависит также от его функци</w:t>
        <w:softHyphen/>
        <w:t>ональной активности: обычно она повышается при усилении функции органа. Это показано для молочной железы в период никтации, щитовидной железы в состоянии гипертиреоза и пр.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520" w:line="228" w:lineRule="auto"/>
        <w:ind w:left="0" w:right="0"/>
        <w:jc w:val="both"/>
      </w:pPr>
      <w:bookmarkStart w:id="30" w:name="bookmark30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Во взрослом организме, в соответствии с правилом Бергонье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и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Трибондо, непролиферирующие высокодифференцированные нервные клетки высокорадиорезистентны. Однако это относит-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сн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лишь к морфологическим проявлениям повреждения и гибе</w:t>
        <w:softHyphen/>
        <w:t>ли нейронов после облучения. Функциональные же реакции об</w:t>
        <w:softHyphen/>
        <w:t xml:space="preserve">наруживаются в ответ на облучение в ничтожных дозах. Так,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ранние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изменения электроэнцефалограммы появляются после облучения в дозе 0,5 мГр, а облучение в дозе 1 мГр вызывает за</w:t>
        <w:softHyphen/>
        <w:t>метное удлинение времени рефлекса в ответ на электрораздра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жение.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Спящие крысы просыпаются в результате облучения в дозе 0,01—0,02 Гр. Волны электрической активности в пережи</w:t>
        <w:softHyphen/>
        <w:t xml:space="preserve">нающих </w:t>
      </w:r>
      <w:r>
        <w:rPr>
          <w:i/>
          <w:iCs/>
          <w:spacing w:val="0"/>
          <w:w w:val="100"/>
          <w:position w:val="0"/>
          <w:shd w:val="clear" w:color="auto" w:fill="auto"/>
          <w:lang w:val="en-US" w:eastAsia="en-US" w:bidi="en-US"/>
        </w:rPr>
        <w:t>in vitro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нервных клетках вызывает облучение в дозе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0,01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Гр. Все это говорит о высокой реактивности элементов нер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вной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системы по отношению к радиационным воздействиям.</w:t>
      </w:r>
      <w:bookmarkEnd w:id="30"/>
    </w:p>
    <w:p>
      <w:pPr>
        <w:pStyle w:val="Style44"/>
        <w:keepNext/>
        <w:keepLines/>
        <w:widowControl w:val="0"/>
        <w:shd w:val="clear" w:color="auto" w:fill="auto"/>
        <w:bidi w:val="0"/>
        <w:spacing w:before="0" w:after="260" w:line="228" w:lineRule="auto"/>
        <w:ind w:left="0" w:right="0" w:firstLine="0"/>
        <w:jc w:val="center"/>
      </w:pPr>
      <w:bookmarkStart w:id="31" w:name="bookmark31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2.4. РАДИОБИОЛОГИЧЕСКИЕ ЭФФЕКТЫ</w:t>
      </w:r>
      <w:bookmarkEnd w:id="31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Радиобиологическими эффектами называются изменения, воз</w:t>
        <w:softHyphen/>
        <w:t>никающие в биологических системах при действии на них иони</w:t>
        <w:softHyphen/>
        <w:t>зирующих излучений. Сложность организма как биологической системы предопределяет многообразие радиобиологических эф</w:t>
        <w:softHyphen/>
        <w:t>фектов. Критериями их классификации служат уровень форми</w:t>
        <w:softHyphen/>
        <w:t>рования, сроки появления, локализация, характер связи с дозой облучения, значение для судьбы облученного организма, воз</w:t>
        <w:softHyphen/>
        <w:t xml:space="preserve">можность передачи по наследству последующим поколениям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и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др. (табл. 4).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Радиобиологические эффекты можно классифицировать, пре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жде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всего, по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уровню их формирования.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28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072" w:right="1022" w:bottom="640" w:left="109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На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молекулярном уровне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облучение биосистем вызывает набор характерных изменений, обусловленных взаимодействием био</w:t>
        <w:softHyphen/>
        <w:t xml:space="preserve">молекул с самим излучением либо продуктами радиолиза воды. 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9"/>
          <w:szCs w:val="19"/>
          <w:shd w:val="clear" w:color="auto" w:fill="auto"/>
          <w:lang w:val="ru-RU" w:eastAsia="ru-RU" w:bidi="ru-RU"/>
        </w:rPr>
        <w:t xml:space="preserve">К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таким изменениям относятся разрывы, сшивки, изменения последовательности мономеров в молекулах биополимеров, потеря ими фрагментов, окислительная модификация, образо</w:t>
        <w:softHyphen/>
        <w:t xml:space="preserve">вание аномальных химических связей с другими молекулами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>и др.</w:t>
      </w:r>
    </w:p>
    <w:p>
      <w:pPr>
        <w:pStyle w:val="Style71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right"/>
        <w:rPr>
          <w:sz w:val="15"/>
          <w:szCs w:val="15"/>
        </w:rPr>
      </w:pPr>
      <w:r>
        <w:rPr>
          <w:b w:val="0"/>
          <w:bCs w:val="0"/>
          <w:i/>
          <w:iCs/>
          <w:spacing w:val="0"/>
          <w:w w:val="100"/>
          <w:position w:val="0"/>
          <w:sz w:val="15"/>
          <w:szCs w:val="15"/>
          <w:shd w:val="clear" w:color="auto" w:fill="auto"/>
          <w:lang w:val="ru-RU" w:eastAsia="ru-RU" w:bidi="ru-RU"/>
        </w:rPr>
        <w:t>Таблица 4</w:t>
      </w:r>
    </w:p>
    <w:p>
      <w:pPr>
        <w:pStyle w:val="Style71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672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Классификация радиобиологических эффектов</w:t>
      </w:r>
    </w:p>
    <w:tbl>
      <w:tblPr>
        <w:tblOverlap w:val="never"/>
        <w:jc w:val="center"/>
        <w:tblLayout w:type="fixed"/>
      </w:tblPr>
      <w:tblGrid>
        <w:gridCol w:w="3806"/>
        <w:gridCol w:w="1867"/>
      </w:tblGrid>
      <w:tr>
        <w:trPr>
          <w:trHeight w:val="274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Критерий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0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Эффекты</w:t>
            </w:r>
          </w:p>
        </w:tc>
      </w:tr>
      <w:tr>
        <w:trPr>
          <w:trHeight w:val="1138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По уровню формирования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307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Молекулярные Клеточные Тканевые Организменные Популяционные</w:t>
            </w:r>
          </w:p>
        </w:tc>
      </w:tr>
      <w:tr>
        <w:trPr>
          <w:trHeight w:val="475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По значению для судьбы облученного организма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307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Патологические Горметические</w:t>
            </w:r>
          </w:p>
        </w:tc>
      </w:tr>
      <w:tr>
        <w:trPr>
          <w:trHeight w:val="480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По возможности наследования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307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Соматические Генетические</w:t>
            </w:r>
          </w:p>
        </w:tc>
      </w:tr>
      <w:tr>
        <w:trPr>
          <w:trHeight w:val="475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По локализации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40" w:lineRule="auto"/>
              <w:ind w:left="0" w:right="0" w:firstLine="16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Общие (тотальные)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Местные (локальные)</w:t>
            </w:r>
          </w:p>
        </w:tc>
      </w:tr>
      <w:tr>
        <w:trPr>
          <w:trHeight w:val="475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По срокам проявления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30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Ближайшие Отдаленные</w:t>
            </w:r>
          </w:p>
        </w:tc>
      </w:tr>
      <w:tr>
        <w:trPr>
          <w:trHeight w:val="509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По характеру связи с дозой облучения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307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Детерминированные Стохастические</w:t>
            </w:r>
          </w:p>
        </w:tc>
      </w:tr>
    </w:tbl>
    <w:p>
      <w:pPr>
        <w:widowControl w:val="0"/>
        <w:spacing w:after="179" w:line="1" w:lineRule="exact"/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Наиболее важными являются повреждения ДНК и биологи</w:t>
        <w:softHyphen/>
        <w:t>ческих мембран. Повреждения ДНК в дальнейшем проявляются хромосомными аберрациями, основными видами которых явля</w:t>
        <w:softHyphen/>
        <w:t>ются фрагментация хромосом, формирование хромосомных мо</w:t>
        <w:softHyphen/>
        <w:t>стов, динентриков, кольцевых хромосом, внутри- и межхромо</w:t>
        <w:softHyphen/>
        <w:t>сомных обменов и т. п. В их основе лежат одиночные и двойные разрывы цепочек ДНК, повреждения ДНК-мембранного комп</w:t>
        <w:softHyphen/>
        <w:t>лекса, разрушение связей ДНК-белок, повышающее уязвимость ДНК при атаке вторичными радикалами и ферментами, сшивки ДНК-ДНК и ДНК-белок, нарушения вторичной, третичной и четвертичной структуры этого биополимера. Некоторые из этих повреждений, в частности одиночные разрывы, могут подвер</w:t>
        <w:softHyphen/>
        <w:t>гаться репарации с участием ферментов эндонуклеаз, экзонук</w:t>
        <w:softHyphen/>
        <w:t>леаз, ДНК-полимераз, ДНК-лигаз. Двунитевой разрыв ДНК чаще всего не подвергается репарации и приводит к гибели клет</w:t>
        <w:softHyphen/>
        <w:t>ки, а неправильная репарация приводит к появлению мутаций. Однако многие клетки погибают после облучения еще до вступ</w:t>
        <w:softHyphen/>
        <w:t>ления в митоз, а следовательно, и до появления хромосомных аберраций.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00" w:line="233" w:lineRule="auto"/>
        <w:ind w:left="0" w:right="0" w:firstLine="320"/>
        <w:jc w:val="both"/>
        <w:sectPr>
          <w:footerReference w:type="default" r:id="rId98"/>
          <w:footerReference w:type="even" r:id="rId99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045" w:right="301" w:bottom="719" w:left="1820" w:header="617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Вторыми по значимости мишенями действия ионизирующих излучений являются ненасыщенные фосфолипиды биологиче</w:t>
        <w:softHyphen/>
        <w:t>ских мембран. В липидной фракции вследствие активации сво-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йоднорадикальных процессов накапливаются продукты пере</w:t>
        <w:softHyphen/>
        <w:t>кисного окисления, в первую очередь перекиси и гидроперекиси ненасыщенных жирных кислот. В ряде случаев окислительные процессы в липидах могут принять цепной характер. Липиды яв</w:t>
        <w:softHyphen/>
        <w:t>ляются структурными компонентами внутриклеточных мемб</w:t>
        <w:softHyphen/>
        <w:t>ран, и их повреждение приводит к существенному нарушению метаболических процессов в клетке, вносит значимый вклад в патогенез лучевого поражения.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Изменения обнаруживаются и в других молекулярных ком</w:t>
        <w:softHyphen/>
        <w:t>понентах клетки. Наблюдаются повреждения азотистых осно</w:t>
        <w:softHyphen/>
        <w:t>ваний и разрывы цепей РНК, распад мукополисахаридов, в ча</w:t>
        <w:softHyphen/>
        <w:t>стности гиалуроновой кислоты, нарушения первичной (вслед</w:t>
        <w:softHyphen/>
        <w:t>ствие избирательного поражения отдельных аминокислот) и вторичной структуры ферментов, изменения их функциональ</w:t>
        <w:softHyphen/>
        <w:t>ных свойств и химических характеристик и т. п.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На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клеточном уровне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воздействие ионизирующих излучений вызывает интерфазную или репродуктивную гибель клеток, вре</w:t>
        <w:softHyphen/>
        <w:t>менный блок митозов, нелетальные мутации и нарушения функ</w:t>
        <w:softHyphen/>
        <w:t>циональной активности клеток.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На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уровне тканей, органов и систем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действие радиации харак</w:t>
        <w:softHyphen/>
        <w:t>теризуется цитопеническим эффектом, в основе которого лежат преимущественно гибель клеток и радиационный блок митозов.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Радиобиологические эффекты, возникающие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на уровне орга</w:t>
        <w:softHyphen/>
        <w:t>низма,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проявляются в формировании различных заболеваний, а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на уровне популяции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— в изменении демографических характери</w:t>
        <w:softHyphen/>
        <w:t>стик и пр.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По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значению для судьбы облученного организма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радиобиоло</w:t>
        <w:softHyphen/>
        <w:t>гические эффекты можно разделить на патологические и гер</w:t>
        <w:softHyphen/>
        <w:t>метические. Как правило, радиобиологические эффекты небла</w:t>
        <w:softHyphen/>
        <w:t xml:space="preserve">гоприятным образом сказываются на биологическом объекте. Исключением из этого правила является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эффект гормезиса,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ко</w:t>
        <w:softHyphen/>
        <w:t>торый проявляется повышением жизнеспособности организмов под влиянием облучения в малых дозах. Этот эффект использу</w:t>
        <w:softHyphen/>
        <w:t>ют в медицине: прием радоновых ванн, сопровождающийся об</w:t>
        <w:softHyphen/>
        <w:t>лучением организма в малых дозах, обладает положительным влиянием на функциональное состояние и резистентность орга</w:t>
        <w:softHyphen/>
        <w:t>низма.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  <w:sectPr>
          <w:footerReference w:type="default" r:id="rId100"/>
          <w:footerReference w:type="even" r:id="rId101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036" w:right="928" w:bottom="666" w:left="117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По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возможности передачи по наследству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последующим поко</w:t>
        <w:softHyphen/>
        <w:t>лениям радиобиологические эффекты делятся на соматические и генетические.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Изменения в генетическом аппарате клеток человеческого организма могут быть унаследованы потомством лишь при усло</w:t>
        <w:softHyphen/>
        <w:t>вии, что эти изменения возникают в половых клетках. Мутации соматических клеток в естественных условиях не наследуются (такая возможность создается лишь при клонировании организ</w:t>
        <w:softHyphen/>
        <w:t xml:space="preserve">ма). Поэтому практически важно разграничивать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соматические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(возникающие в соматических клетках)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генетические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(индуци</w:t>
        <w:softHyphen/>
        <w:t>руемые при воздействии радиации на половые клетки) радиоби</w:t>
        <w:softHyphen/>
        <w:t>ологические эффекты. При общем облучении организма можно ожидать появления как соматических, так и генетических эф</w:t>
        <w:softHyphen/>
        <w:t>фектов.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Следует подчеркнуть, что все генетические эффекты облуче</w:t>
        <w:softHyphen/>
        <w:t>ния проявляются в виде врожденных признаков. В то же время далеко не все врожденные признаки являются проявлением ге</w:t>
        <w:softHyphen/>
        <w:t>нетических эффектов облучения. Наблюдения за лицами, роди</w:t>
        <w:softHyphen/>
        <w:t>тели которых были облучены до зачатия во время атомных бом</w:t>
        <w:softHyphen/>
        <w:t>бардировок Японии, не выявили значимого возрастания частоты врожденных дефектов. В то же время риск таких дефектов чрез</w:t>
        <w:softHyphen/>
        <w:t>вычайно высок при равном по дозе лучевом воздействии на эмб</w:t>
        <w:softHyphen/>
        <w:t>рион или плод — особенно при облучении беременной женщи</w:t>
        <w:softHyphen/>
        <w:t>ны в сроки с 8-й по 15-ю неделю беременности. В последнем случае врожденными являются изменения, обусловленные не генетическими, а соматическими эффектами облучения плода.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Радиобиологические эффекты можно также классифициро</w:t>
        <w:softHyphen/>
        <w:t xml:space="preserve">вать в зависимости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от локализации, т. е.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от органа или части тела, в которых они регистрируются. Весьма актуальна такая класси</w:t>
        <w:softHyphen/>
        <w:t>фикация в практике лечения онкологических заболеваний, ког</w:t>
        <w:softHyphen/>
        <w:t xml:space="preserve">да пораженный опухолью участок тела облучается в высокой дозе при тщательном экранировании здоровых тканей.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При ло</w:t>
        <w:softHyphen/>
        <w:t>кальном облучении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органа или сегмента тела наиболее сильное поражающее действие радиации проявляется именно в нем (та</w:t>
        <w:softHyphen/>
        <w:t>кой эффект называют местным действием). Однако изменения возникают и в необлученных тканях, тогда говорят о дистанци</w:t>
        <w:softHyphen/>
        <w:t>онном действии излучений. Его примером может служить уме</w:t>
        <w:softHyphen/>
        <w:t>ньшение числа миелокариоцитов в костном мозге экранирован</w:t>
        <w:softHyphen/>
        <w:t>ной конечности после облучения животных.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По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срокам появления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радиобиологические эффекты, возника</w:t>
        <w:softHyphen/>
        <w:t>ющие в организме и популяции, принято подразделять на бли</w:t>
        <w:softHyphen/>
        <w:t>жайшие и отдаленные.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023" w:right="377" w:bottom="727" w:left="1744" w:header="0" w:footer="3" w:gutter="0"/>
          <w:cols w:space="720"/>
          <w:noEndnote/>
          <w:rtlGutter w:val="0"/>
          <w:docGrid w:linePitch="360"/>
        </w:sectPr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Ближайшие эффекты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проявляются в сроки до нескольких ме</w:t>
        <w:softHyphen/>
        <w:t>сяцев после облучения и связаны с развитием цитопенических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состояний в различных тканевых системах организма. Примера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ми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ближайших эффектов облучения могут быть острая лучевая реакция, острая лучевая болезнь, лучевая алопеция (облысение), иучевой дерматит.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Отдаленные эффекты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возникают спустя годы после облуче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ния,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 фоне полной регрессии основных клинических проявле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ний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острого поражения. Несмотря на причинную связь с облу</w:t>
        <w:softHyphen/>
        <w:t>чением, отдаленные радиобиологические эффекты не являются специфическими для радиационного воздействия — эта патоло</w:t>
        <w:softHyphen/>
        <w:t>гия вызывается и нелучевыми факторами. Примерами отдален</w:t>
        <w:softHyphen/>
        <w:t xml:space="preserve">ных последствий облучения являются опухоли, гемобластозы, гипопластические, дистрофические, склеротические процессы.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И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нтегральным проявлением этих последствий служит сокраще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ние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продолжительности жизни организмов, перенесших острое лучевое поражение.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По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характеру связи с дозой облучения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радиобиологические эф</w:t>
        <w:softHyphen/>
        <w:t>фекты подразделяются на стохастические (вероятностные) и не</w:t>
        <w:softHyphen/>
        <w:t>стохастические (детерминированные).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Стохастические эффекты облучения </w:t>
      </w:r>
      <w:r>
        <w:rPr>
          <w:i/>
          <w:iCs/>
          <w:color w:val="8A8A8A"/>
          <w:spacing w:val="0"/>
          <w:w w:val="100"/>
          <w:position w:val="0"/>
          <w:shd w:val="clear" w:color="auto" w:fill="auto"/>
          <w:lang w:val="ru-RU" w:eastAsia="ru-RU" w:bidi="ru-RU"/>
        </w:rPr>
        <w:t>—</w:t>
      </w:r>
      <w:r>
        <w:rPr>
          <w:color w:val="8A8A8A"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это поражения, кото</w:t>
        <w:softHyphen/>
        <w:t>рые являются результатом повреждения одной клетки или небо</w:t>
        <w:softHyphen/>
        <w:t>льшого их числа; дозовый порог для их возникновения отсутст</w:t>
        <w:softHyphen/>
        <w:t>вует; от дозы зависит лишь вероятность возникновения пораже</w:t>
        <w:softHyphen/>
        <w:t>ния, но не его выраженность (степень тяжести). Беспороговость стохастических эффектов означает, что сколь угодно малые дозы облучения способны влиять на частоту их возникновения. Аль</w:t>
        <w:softHyphen/>
        <w:t>тернативный характер проявляется в том, что стохастические эффекты, подчиняясь закону «все или ничего», не могут быть охарактеризованы таким показателем, как «выраженность». С увеличением дозы облучения вероятность возникновения стоха</w:t>
        <w:softHyphen/>
        <w:t>стического эффекта растет, но его качество остается неизмен</w:t>
        <w:softHyphen/>
        <w:t>ным. При достаточно больших дозах часть облученных организ</w:t>
        <w:softHyphen/>
        <w:t>мов погибает до развития у них соответствующих стохастиче</w:t>
        <w:softHyphen/>
        <w:t>ских эффектов. Примером стохастического эффекта облучения на клеточном уровне может служить гибель клетки; на уровне целостного организма — лейкемия, рак, генетические эффекты.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85" w:right="944" w:bottom="736" w:left="1174" w:header="0" w:footer="3" w:gutter="0"/>
          <w:cols w:space="720"/>
          <w:noEndnote/>
          <w:rtlGutter w:val="0"/>
          <w:docGrid w:linePitch="360"/>
        </w:sectPr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Детерминированные (или нестохастические) эффекты облуче</w:t>
        <w:softHyphen/>
        <w:t>ния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</w:t>
      </w:r>
      <w:r>
        <w:rPr>
          <w:color w:val="8A8A8A"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это поражения, которые являются результатом коллектив</w:t>
        <w:softHyphen/>
        <w:t>ного повреждения значительного числа клеток облученной тка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ни или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организма в целом; проявляются при превышении поро</w:t>
        <w:softHyphen/>
        <w:t>га дозы; вероятность их возникновения и степень выраженности швисят от дозы облучения. Признаками детерминированного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эффекта (нестохастического) являются пороговый характер и градиентная связь амплитуды с дозой облучения. Если доза об</w:t>
        <w:softHyphen/>
        <w:t>лучения превышает пороговую величину, то нестохастический эффект возникает со 100% вероятностью, причем его амплитуда монотонно возрастает с увеличением дозы.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Знание дозовых «порогов» нестохастических эффектов (т. е. минимальных значений вызывающих их доз) весьма важно для диагностики и профилактики лучевых поражений. В табл. 5 представлены минимальные величины доз ионизирующих излу</w:t>
        <w:softHyphen/>
        <w:t>чений, вызывающих некоторые детерминированные эффекты облучения организма человека.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righ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Таблица 5</w:t>
      </w:r>
    </w:p>
    <w:p>
      <w:pPr>
        <w:pStyle w:val="Style71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Дозовые пороги некоторых детерминированных эффектов облучения организма человека</w:t>
      </w:r>
    </w:p>
    <w:tbl>
      <w:tblPr>
        <w:tblOverlap w:val="never"/>
        <w:jc w:val="center"/>
        <w:tblLayout w:type="fixed"/>
      </w:tblPr>
      <w:tblGrid>
        <w:gridCol w:w="2808"/>
        <w:gridCol w:w="1560"/>
      </w:tblGrid>
      <w:tr>
        <w:trPr>
          <w:trHeight w:val="499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16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Детерминированные эффекты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Дозовые пороги, Гр</w:t>
            </w:r>
          </w:p>
        </w:tc>
      </w:tr>
      <w:tr>
        <w:trPr>
          <w:trHeight w:val="302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Острая лучевая реакция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0,25</w:t>
            </w:r>
          </w:p>
        </w:tc>
      </w:tr>
      <w:tr>
        <w:trPr>
          <w:trHeight w:val="302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Обратимая стерильность у мужчин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0,4</w:t>
            </w:r>
          </w:p>
        </w:tc>
      </w:tr>
      <w:tr>
        <w:trPr>
          <w:trHeight w:val="302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Тошнота, рвота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0,5</w:t>
            </w:r>
          </w:p>
        </w:tc>
      </w:tr>
      <w:tr>
        <w:trPr>
          <w:trHeight w:val="307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Острая лучевая болезнь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1,0</w:t>
            </w:r>
          </w:p>
        </w:tc>
      </w:tr>
      <w:tr>
        <w:trPr>
          <w:trHeight w:val="302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Хроническая лучевая болезнь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1,0</w:t>
            </w:r>
          </w:p>
        </w:tc>
      </w:tr>
      <w:tr>
        <w:trPr>
          <w:trHeight w:val="336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Лучевая катаракта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2,0</w:t>
            </w:r>
          </w:p>
        </w:tc>
      </w:tr>
    </w:tbl>
    <w:p>
      <w:pPr>
        <w:widowControl w:val="0"/>
        <w:spacing w:after="199" w:line="1" w:lineRule="exact"/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40" w:line="226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 основным детерминированным эффектам относятся:</w:t>
      </w:r>
    </w:p>
    <w:p>
      <w:pPr>
        <w:pStyle w:val="Style34"/>
        <w:keepNext w:val="0"/>
        <w:keepLines w:val="0"/>
        <w:widowControl w:val="0"/>
        <w:numPr>
          <w:ilvl w:val="0"/>
          <w:numId w:val="41"/>
        </w:numPr>
        <w:shd w:val="clear" w:color="auto" w:fill="auto"/>
        <w:tabs>
          <w:tab w:pos="566" w:val="left"/>
        </w:tabs>
        <w:bidi w:val="0"/>
        <w:spacing w:before="0" w:after="40" w:line="226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ближайшие эффекты: радиационные поражения отдельных органов и тканей, участков тела; острые лучевые реакции, острые лучевые болезни;</w:t>
      </w:r>
    </w:p>
    <w:p>
      <w:pPr>
        <w:pStyle w:val="Style34"/>
        <w:keepNext w:val="0"/>
        <w:keepLines w:val="0"/>
        <w:widowControl w:val="0"/>
        <w:numPr>
          <w:ilvl w:val="0"/>
          <w:numId w:val="41"/>
        </w:numPr>
        <w:shd w:val="clear" w:color="auto" w:fill="auto"/>
        <w:tabs>
          <w:tab w:pos="562" w:val="left"/>
        </w:tabs>
        <w:bidi w:val="0"/>
        <w:spacing w:before="0" w:after="200" w:line="223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отдаленные эффекты: хроническая лучевая болезнь, луче</w:t>
        <w:softHyphen/>
        <w:t>вая катаракта, тератогенные эффекты.</w:t>
      </w:r>
    </w:p>
    <w:p>
      <w:pPr>
        <w:pStyle w:val="Style8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both"/>
        <w:rPr>
          <w:sz w:val="19"/>
          <w:szCs w:val="19"/>
        </w:rPr>
      </w:pPr>
      <w:bookmarkStart w:id="33" w:name="bookmark33"/>
      <w:r>
        <w:rPr>
          <w:b/>
          <w:bCs/>
          <w:spacing w:val="0"/>
          <w:w w:val="100"/>
          <w:position w:val="0"/>
          <w:sz w:val="19"/>
          <w:szCs w:val="19"/>
          <w:shd w:val="clear" w:color="auto" w:fill="auto"/>
          <w:lang w:val="ru-RU" w:eastAsia="ru-RU" w:bidi="ru-RU"/>
        </w:rPr>
        <w:t>Литература для самоподготовки</w:t>
      </w:r>
      <w:bookmarkEnd w:id="33"/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00" w:line="252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Основная: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Военная токсикология, радиобиология и медицинская защита: Учебник / Под ред. С. А. Куценко. — СПб: Фолиант, 2004. — С. 358-379.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54" w:lineRule="auto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Практикум по токсикологии и медицинской защите: Учебное пособие / Под ред. А. Н. Гребенюка. — СПб: Фолиант, 2010. — С. 116-128.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00" w:line="252" w:lineRule="auto"/>
        <w:ind w:right="0" w:hanging="34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59" w:right="401" w:bottom="819" w:left="171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Тестовые задания по военной токсикологии, радиобиологии и медицинской защите: Учебное пособие / Под ред. С. А. Куценко. — СПб: Фолиант, 2005. — С. 103-126.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 w:line="262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Дополнительная: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 w:line="262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Основы медицинской радиобиологии / Под ред. И. Б. Ушакова. — СПб: Фолиант, 2004. — С. 30-74.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 w:line="262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Радиобиология человека и животных: Учебное пособие / Под ред. С. П. Ярмонен- ко. — М.: Высшая школа, 2004. — С. 50-170.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Радиация и патология: Учебное пособие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I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Под ред. А. Ф. Цыба. — М.: Высшая шко</w:t>
        <w:softHyphen/>
        <w:t>ла, 2005.— С. 126-208.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 w:line="262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Радиационная биофизика (ионизирующие излучения): Учебник / Ю. Б. Кудряшов. — М.: Физматлит, 2004. — 448 с.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40" w:line="262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Биохимия: Учебник / В. П. Комов, В. Н. Шведова. — М.: Дрофа, 2004. — 640 с.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00" w:line="230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Вопросы для самоконтроля</w:t>
      </w:r>
    </w:p>
    <w:p>
      <w:pPr>
        <w:pStyle w:val="Style34"/>
        <w:keepNext w:val="0"/>
        <w:keepLines w:val="0"/>
        <w:widowControl w:val="0"/>
        <w:numPr>
          <w:ilvl w:val="0"/>
          <w:numId w:val="43"/>
        </w:numPr>
        <w:shd w:val="clear" w:color="auto" w:fill="auto"/>
        <w:tabs>
          <w:tab w:pos="272" w:val="left"/>
        </w:tabs>
        <w:bidi w:val="0"/>
        <w:spacing w:before="0" w:after="0" w:line="230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Назовите стадии действия ионизирующих излучений в био</w:t>
        <w:softHyphen/>
        <w:t>логическом объекте.</w:t>
      </w:r>
    </w:p>
    <w:p>
      <w:pPr>
        <w:pStyle w:val="Style34"/>
        <w:keepNext w:val="0"/>
        <w:keepLines w:val="0"/>
        <w:widowControl w:val="0"/>
        <w:numPr>
          <w:ilvl w:val="0"/>
          <w:numId w:val="43"/>
        </w:numPr>
        <w:shd w:val="clear" w:color="auto" w:fill="auto"/>
        <w:tabs>
          <w:tab w:pos="291" w:val="left"/>
        </w:tabs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чем сущность прямого и косвенного действия радиации?</w:t>
      </w:r>
    </w:p>
    <w:p>
      <w:pPr>
        <w:pStyle w:val="Style34"/>
        <w:keepNext w:val="0"/>
        <w:keepLines w:val="0"/>
        <w:widowControl w:val="0"/>
        <w:numPr>
          <w:ilvl w:val="0"/>
          <w:numId w:val="43"/>
        </w:numPr>
        <w:shd w:val="clear" w:color="auto" w:fill="auto"/>
        <w:tabs>
          <w:tab w:pos="296" w:val="left"/>
        </w:tabs>
        <w:bidi w:val="0"/>
        <w:spacing w:before="0" w:after="0" w:line="230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реакции протекают при радиолизе воды и свобод</w:t>
        <w:softHyphen/>
        <w:t>но-радикальном окислении?</w:t>
      </w:r>
    </w:p>
    <w:p>
      <w:pPr>
        <w:pStyle w:val="Style34"/>
        <w:keepNext w:val="0"/>
        <w:keepLines w:val="0"/>
        <w:widowControl w:val="0"/>
        <w:numPr>
          <w:ilvl w:val="0"/>
          <w:numId w:val="43"/>
        </w:numPr>
        <w:shd w:val="clear" w:color="auto" w:fill="auto"/>
        <w:tabs>
          <w:tab w:pos="301" w:val="left"/>
        </w:tabs>
        <w:bidi w:val="0"/>
        <w:spacing w:before="0" w:after="0" w:line="230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Каковы молекулярные механизмы лучевого повреждения биосистем? Как зависит радиочувствительность биологиче</w:t>
        <w:softHyphen/>
        <w:t>ских молекул от их молекулярной массы?</w:t>
      </w:r>
    </w:p>
    <w:p>
      <w:pPr>
        <w:pStyle w:val="Style34"/>
        <w:keepNext w:val="0"/>
        <w:keepLines w:val="0"/>
        <w:widowControl w:val="0"/>
        <w:numPr>
          <w:ilvl w:val="0"/>
          <w:numId w:val="43"/>
        </w:numPr>
        <w:shd w:val="clear" w:color="auto" w:fill="auto"/>
        <w:tabs>
          <w:tab w:pos="291" w:val="left"/>
        </w:tabs>
        <w:bidi w:val="0"/>
        <w:spacing w:before="0" w:after="0" w:line="230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радиационно-химические изменения наблюдаются в нуклеиновых кислотах, белках, жирах и углеводах?</w:t>
      </w:r>
    </w:p>
    <w:p>
      <w:pPr>
        <w:pStyle w:val="Style34"/>
        <w:keepNext w:val="0"/>
        <w:keepLines w:val="0"/>
        <w:widowControl w:val="0"/>
        <w:numPr>
          <w:ilvl w:val="0"/>
          <w:numId w:val="43"/>
        </w:numPr>
        <w:shd w:val="clear" w:color="auto" w:fill="auto"/>
        <w:tabs>
          <w:tab w:pos="296" w:val="left"/>
        </w:tabs>
        <w:bidi w:val="0"/>
        <w:spacing w:before="0" w:after="0" w:line="230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Что такое биологическое усиление первичного радиационно</w:t>
        <w:softHyphen/>
        <w:t>го поражения? Какие механизмы лежат в его основе?</w:t>
      </w:r>
    </w:p>
    <w:p>
      <w:pPr>
        <w:pStyle w:val="Style34"/>
        <w:keepNext w:val="0"/>
        <w:keepLines w:val="0"/>
        <w:widowControl w:val="0"/>
        <w:numPr>
          <w:ilvl w:val="0"/>
          <w:numId w:val="43"/>
        </w:numPr>
        <w:shd w:val="clear" w:color="auto" w:fill="auto"/>
        <w:tabs>
          <w:tab w:pos="291" w:val="left"/>
        </w:tabs>
        <w:bidi w:val="0"/>
        <w:spacing w:before="0" w:after="0" w:line="230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Каким образом в клетке может происходить репарация ради</w:t>
        <w:softHyphen/>
        <w:t>ационных повреждений? Какие механизмы лежат в основе репарации?</w:t>
      </w:r>
    </w:p>
    <w:p>
      <w:pPr>
        <w:pStyle w:val="Style34"/>
        <w:keepNext w:val="0"/>
        <w:keepLines w:val="0"/>
        <w:widowControl w:val="0"/>
        <w:numPr>
          <w:ilvl w:val="0"/>
          <w:numId w:val="43"/>
        </w:numPr>
        <w:shd w:val="clear" w:color="auto" w:fill="auto"/>
        <w:tabs>
          <w:tab w:pos="296" w:val="left"/>
        </w:tabs>
        <w:bidi w:val="0"/>
        <w:spacing w:before="0" w:after="0" w:line="230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 клетки могут реагировать на облучение? Назовите основ</w:t>
        <w:softHyphen/>
        <w:t>ные формы клеточной гибели и нелетальных реакций на действие ионизирующих излучений.</w:t>
      </w:r>
    </w:p>
    <w:p>
      <w:pPr>
        <w:pStyle w:val="Style34"/>
        <w:keepNext w:val="0"/>
        <w:keepLines w:val="0"/>
        <w:widowControl w:val="0"/>
        <w:numPr>
          <w:ilvl w:val="0"/>
          <w:numId w:val="43"/>
        </w:numPr>
        <w:shd w:val="clear" w:color="auto" w:fill="auto"/>
        <w:tabs>
          <w:tab w:pos="296" w:val="left"/>
        </w:tabs>
        <w:bidi w:val="0"/>
        <w:spacing w:before="0" w:after="0" w:line="230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Что является главной мишенью поражения клеток ионизиру</w:t>
        <w:softHyphen/>
        <w:t>ющими излучениями? Каково значение повреждений ДНК для судьбы клетки?</w:t>
      </w:r>
    </w:p>
    <w:p>
      <w:pPr>
        <w:pStyle w:val="Style34"/>
        <w:keepNext w:val="0"/>
        <w:keepLines w:val="0"/>
        <w:widowControl w:val="0"/>
        <w:numPr>
          <w:ilvl w:val="0"/>
          <w:numId w:val="43"/>
        </w:numPr>
        <w:shd w:val="clear" w:color="auto" w:fill="auto"/>
        <w:tabs>
          <w:tab w:pos="377" w:val="left"/>
        </w:tabs>
        <w:bidi w:val="0"/>
        <w:spacing w:before="0" w:after="0" w:line="230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Какое значение имеет повреждение мембран для судьбы облу</w:t>
        <w:softHyphen/>
        <w:t>ченной клетки? В чем сущность интерфазной гибели клеток?</w:t>
      </w:r>
    </w:p>
    <w:p>
      <w:pPr>
        <w:pStyle w:val="Style34"/>
        <w:keepNext w:val="0"/>
        <w:keepLines w:val="0"/>
        <w:widowControl w:val="0"/>
        <w:numPr>
          <w:ilvl w:val="0"/>
          <w:numId w:val="43"/>
        </w:numPr>
        <w:shd w:val="clear" w:color="auto" w:fill="auto"/>
        <w:tabs>
          <w:tab w:pos="382" w:val="left"/>
        </w:tabs>
        <w:bidi w:val="0"/>
        <w:spacing w:before="0" w:after="0" w:line="230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 ткани различаются по радиочувствительности? Сформу</w:t>
        <w:softHyphen/>
        <w:t>лируйте правило Бергонье и Трибондо, дайте его объяснение.</w:t>
      </w:r>
    </w:p>
    <w:p>
      <w:pPr>
        <w:pStyle w:val="Style34"/>
        <w:keepNext w:val="0"/>
        <w:keepLines w:val="0"/>
        <w:widowControl w:val="0"/>
        <w:numPr>
          <w:ilvl w:val="0"/>
          <w:numId w:val="43"/>
        </w:numPr>
        <w:shd w:val="clear" w:color="auto" w:fill="auto"/>
        <w:tabs>
          <w:tab w:pos="387" w:val="left"/>
        </w:tabs>
        <w:bidi w:val="0"/>
        <w:spacing w:before="0" w:after="0" w:line="230" w:lineRule="auto"/>
        <w:ind w:left="360" w:right="0" w:hanging="360"/>
        <w:jc w:val="both"/>
        <w:sectPr>
          <w:footerReference w:type="default" r:id="rId102"/>
          <w:footerReference w:type="even" r:id="rId103"/>
          <w:footnotePr>
            <w:pos w:val="pageBottom"/>
            <w:numFmt w:val="chicago"/>
            <w:numRestart w:val="continuous"/>
            <w15:footnoteColumns w:val="1"/>
          </w:footnotePr>
          <w:pgSz w:w="8434" w:h="12594"/>
          <w:pgMar w:top="1398" w:right="864" w:bottom="1398" w:left="1267" w:header="970" w:footer="970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эффекты наблюдаются при действии ионизирующих излучений на биологические системы? Как можно класси</w:t>
        <w:softHyphen/>
        <w:t>фицировать радиобиологические эффекты?</w:t>
      </w:r>
    </w:p>
    <w:p>
      <w:pPr>
        <w:pStyle w:val="Style36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  <w:shd w:val="clear" w:color="auto" w:fill="auto"/>
          <w:lang w:val="ru-RU" w:eastAsia="ru-RU" w:bidi="ru-RU"/>
        </w:rPr>
        <w:t>Глава 3</w:t>
      </w:r>
    </w:p>
    <w:p>
      <w:pPr>
        <w:pStyle w:val="Style39"/>
        <w:keepNext/>
        <w:keepLines/>
        <w:widowControl w:val="0"/>
        <w:shd w:val="clear" w:color="auto" w:fill="auto"/>
        <w:bidi w:val="0"/>
        <w:spacing w:before="0" w:after="700" w:line="271" w:lineRule="auto"/>
        <w:ind w:left="0" w:right="0" w:firstLine="0"/>
        <w:jc w:val="center"/>
      </w:pPr>
      <w:bookmarkStart w:id="35" w:name="bookmark35"/>
      <w:bookmarkStart w:id="36" w:name="bookmark36"/>
      <w:r>
        <w:rPr>
          <w:spacing w:val="0"/>
          <w:w w:val="100"/>
          <w:position w:val="0"/>
          <w:sz w:val="24"/>
          <w:szCs w:val="24"/>
          <w:shd w:val="clear" w:color="auto" w:fill="auto"/>
          <w:lang w:val="ru-RU" w:eastAsia="ru-RU" w:bidi="ru-RU"/>
        </w:rPr>
        <w:t>ЛУЧЕВЫЕ ПОРАЖЕНИЯ</w:t>
        <w:br/>
        <w:t>В РЕЗУЛЬТАТЕ ВНЕШНЕГО ОБЩЕГО</w:t>
        <w:br/>
        <w:t>(ТОТАЛЬНОГО) ОБЛУЧЕНИЯ</w:t>
      </w:r>
      <w:bookmarkEnd w:id="36"/>
      <w:bookmarkEnd w:id="35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28" w:lineRule="auto"/>
        <w:ind w:left="0" w:right="0" w:firstLine="0"/>
        <w:jc w:val="left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Учебные вопросы</w:t>
      </w:r>
    </w:p>
    <w:p>
      <w:pPr>
        <w:pStyle w:val="Style34"/>
        <w:keepNext w:val="0"/>
        <w:keepLines w:val="0"/>
        <w:widowControl w:val="0"/>
        <w:numPr>
          <w:ilvl w:val="0"/>
          <w:numId w:val="45"/>
        </w:numPr>
        <w:shd w:val="clear" w:color="auto" w:fill="auto"/>
        <w:tabs>
          <w:tab w:pos="279" w:val="left"/>
        </w:tabs>
        <w:bidi w:val="0"/>
        <w:spacing w:before="0" w:after="0" w:line="226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Общая характеристика и классификация лучевых поражений в результате внешнего облучения в зависимости от вида и условий воздействия.</w:t>
      </w:r>
    </w:p>
    <w:p>
      <w:pPr>
        <w:pStyle w:val="Style34"/>
        <w:keepNext w:val="0"/>
        <w:keepLines w:val="0"/>
        <w:widowControl w:val="0"/>
        <w:numPr>
          <w:ilvl w:val="0"/>
          <w:numId w:val="45"/>
        </w:numPr>
        <w:shd w:val="clear" w:color="auto" w:fill="auto"/>
        <w:tabs>
          <w:tab w:pos="289" w:val="left"/>
        </w:tabs>
        <w:bidi w:val="0"/>
        <w:spacing w:before="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Основные клинические формы острой лучевой болезни (ОЛБ) при внешнем относительно равномерном облучении: костно</w:t>
        <w:softHyphen/>
        <w:t>мозговая, кишечная, токсемическая, церебральная. Дозы об</w:t>
        <w:softHyphen/>
        <w:t>лучения, при которых следует ожидать их развития, и клини</w:t>
        <w:softHyphen/>
        <w:t>ческие исходы.</w:t>
      </w:r>
    </w:p>
    <w:p>
      <w:pPr>
        <w:pStyle w:val="Style34"/>
        <w:keepNext w:val="0"/>
        <w:keepLines w:val="0"/>
        <w:widowControl w:val="0"/>
        <w:numPr>
          <w:ilvl w:val="0"/>
          <w:numId w:val="45"/>
        </w:numPr>
        <w:shd w:val="clear" w:color="auto" w:fill="auto"/>
        <w:tabs>
          <w:tab w:pos="294" w:val="left"/>
        </w:tabs>
        <w:bidi w:val="0"/>
        <w:spacing w:before="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Костномозговая форма ОЛБ. Условия ее возникновения, сте</w:t>
        <w:softHyphen/>
        <w:t>пени тяжести, периоды течения, клинические исходы.</w:t>
      </w:r>
    </w:p>
    <w:p>
      <w:pPr>
        <w:pStyle w:val="Style34"/>
        <w:keepNext w:val="0"/>
        <w:keepLines w:val="0"/>
        <w:widowControl w:val="0"/>
        <w:numPr>
          <w:ilvl w:val="0"/>
          <w:numId w:val="45"/>
        </w:numPr>
        <w:shd w:val="clear" w:color="auto" w:fill="auto"/>
        <w:tabs>
          <w:tab w:pos="294" w:val="left"/>
        </w:tabs>
        <w:bidi w:val="0"/>
        <w:spacing w:before="0" w:after="0" w:line="226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Патогенез основных синдромов периода первичной реакции на облучение. Фармакологические средства, предназначен</w:t>
        <w:softHyphen/>
        <w:t>ные для профилактики и купирования клинических проявле</w:t>
        <w:softHyphen/>
        <w:t>ний первичной реакции на облучение.</w:t>
      </w:r>
    </w:p>
    <w:p>
      <w:pPr>
        <w:pStyle w:val="Style34"/>
        <w:keepNext w:val="0"/>
        <w:keepLines w:val="0"/>
        <w:widowControl w:val="0"/>
        <w:numPr>
          <w:ilvl w:val="0"/>
          <w:numId w:val="45"/>
        </w:numPr>
        <w:shd w:val="clear" w:color="auto" w:fill="auto"/>
        <w:tabs>
          <w:tab w:pos="289" w:val="left"/>
        </w:tabs>
        <w:bidi w:val="0"/>
        <w:spacing w:before="0" w:after="0" w:line="226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Патогенез основных синдромов периода разгара ОЛБ. Сред</w:t>
        <w:softHyphen/>
        <w:t>ства и методы лечения инфекционных и геморрагических осложнений в период разгара ОЛБ.</w:t>
      </w:r>
    </w:p>
    <w:p>
      <w:pPr>
        <w:pStyle w:val="Style34"/>
        <w:keepNext w:val="0"/>
        <w:keepLines w:val="0"/>
        <w:widowControl w:val="0"/>
        <w:numPr>
          <w:ilvl w:val="0"/>
          <w:numId w:val="45"/>
        </w:numPr>
        <w:shd w:val="clear" w:color="auto" w:fill="auto"/>
        <w:tabs>
          <w:tab w:pos="289" w:val="left"/>
        </w:tabs>
        <w:bidi w:val="0"/>
        <w:spacing w:before="0" w:after="0" w:line="226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Кишечная форма ОЛБ. Дозы облучения, при которых следует ожидать ее развития. Патогенез, клинические проявления и исходы. Существующие подходы к лечению основных синд</w:t>
        <w:softHyphen/>
        <w:t>ромов кишечной формы ОЛБ.</w:t>
      </w:r>
    </w:p>
    <w:p>
      <w:pPr>
        <w:pStyle w:val="Style34"/>
        <w:keepNext w:val="0"/>
        <w:keepLines w:val="0"/>
        <w:widowControl w:val="0"/>
        <w:numPr>
          <w:ilvl w:val="0"/>
          <w:numId w:val="45"/>
        </w:numPr>
        <w:shd w:val="clear" w:color="auto" w:fill="auto"/>
        <w:tabs>
          <w:tab w:pos="289" w:val="left"/>
        </w:tabs>
        <w:bidi w:val="0"/>
        <w:spacing w:before="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Токсемическая форма ОЛБ. Дозы облучения, при которых следует ожидать ее развития. Патогенез, клинические прояв</w:t>
        <w:softHyphen/>
        <w:t>ления и исходы. Подходы к лечению основных синдромов токсемической формы ОЛБ.</w:t>
      </w:r>
    </w:p>
    <w:p>
      <w:pPr>
        <w:pStyle w:val="Style34"/>
        <w:keepNext w:val="0"/>
        <w:keepLines w:val="0"/>
        <w:widowControl w:val="0"/>
        <w:numPr>
          <w:ilvl w:val="0"/>
          <w:numId w:val="45"/>
        </w:numPr>
        <w:shd w:val="clear" w:color="auto" w:fill="auto"/>
        <w:tabs>
          <w:tab w:pos="294" w:val="left"/>
        </w:tabs>
        <w:bidi w:val="0"/>
        <w:spacing w:before="0" w:after="0" w:line="228" w:lineRule="auto"/>
        <w:ind w:left="240" w:right="0" w:hanging="240"/>
        <w:jc w:val="both"/>
        <w:sectPr>
          <w:footerReference w:type="default" r:id="rId104"/>
          <w:footerReference w:type="even" r:id="rId105"/>
          <w:footnotePr>
            <w:pos w:val="pageBottom"/>
            <w:numFmt w:val="chicago"/>
            <w:numRestart w:val="continuous"/>
            <w15:footnoteColumns w:val="1"/>
          </w:footnotePr>
          <w:pgSz w:w="8434" w:h="12594"/>
          <w:pgMar w:top="1389" w:right="221" w:bottom="1357" w:left="1930" w:header="961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Церебральная форма ОЛБ. Дозы, при которых следует ожи</w:t>
        <w:softHyphen/>
        <w:t>дать ее развития. Патогенез, клинические проявления и исхо</w:t>
        <w:softHyphen/>
        <w:t>ды. Подходы к фармакологической профилактике синдрома ранней преходящей недееспособности.</w:t>
      </w:r>
    </w:p>
    <w:p>
      <w:pPr>
        <w:pStyle w:val="Style34"/>
        <w:keepNext w:val="0"/>
        <w:keepLines w:val="0"/>
        <w:widowControl w:val="0"/>
        <w:numPr>
          <w:ilvl w:val="0"/>
          <w:numId w:val="45"/>
        </w:numPr>
        <w:shd w:val="clear" w:color="auto" w:fill="auto"/>
        <w:tabs>
          <w:tab w:pos="289" w:val="left"/>
        </w:tabs>
        <w:bidi w:val="0"/>
        <w:spacing w:before="0" w:after="0" w:line="230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Радиационные поражения при внешнем неравномерном облу</w:t>
        <w:softHyphen/>
        <w:t>чении. Особенности патогенеза, клинической картины и ис</w:t>
        <w:softHyphen/>
        <w:t>хода поражений.</w:t>
      </w:r>
    </w:p>
    <w:p>
      <w:pPr>
        <w:pStyle w:val="Style34"/>
        <w:keepNext w:val="0"/>
        <w:keepLines w:val="0"/>
        <w:widowControl w:val="0"/>
        <w:numPr>
          <w:ilvl w:val="0"/>
          <w:numId w:val="45"/>
        </w:numPr>
        <w:shd w:val="clear" w:color="auto" w:fill="auto"/>
        <w:tabs>
          <w:tab w:pos="379" w:val="left"/>
        </w:tabs>
        <w:bidi w:val="0"/>
        <w:spacing w:before="0" w:after="160" w:line="230" w:lineRule="auto"/>
        <w:ind w:left="260" w:right="0" w:hanging="260"/>
        <w:jc w:val="both"/>
      </w:pPr>
      <w:bookmarkStart w:id="38" w:name="bookmark38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Особенности радиационных поражений при воздействии нейтронов. Патогенез, клиническая картина и исходы пора</w:t>
        <w:softHyphen/>
        <w:t>жений.</w:t>
      </w:r>
      <w:bookmarkEnd w:id="38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00" w:line="228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Базисные знания</w:t>
      </w:r>
    </w:p>
    <w:p>
      <w:pPr>
        <w:pStyle w:val="Style34"/>
        <w:keepNext w:val="0"/>
        <w:keepLines w:val="0"/>
        <w:widowControl w:val="0"/>
        <w:numPr>
          <w:ilvl w:val="0"/>
          <w:numId w:val="47"/>
        </w:numPr>
        <w:shd w:val="clear" w:color="auto" w:fill="auto"/>
        <w:tabs>
          <w:tab w:pos="265" w:val="left"/>
        </w:tabs>
        <w:bidi w:val="0"/>
        <w:spacing w:before="0" w:after="0" w:line="230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Виды ионизирующих излучений, их ионизирующая и прони</w:t>
        <w:softHyphen/>
        <w:t>кающая способность. Способы воздействия ионизирующих излучений на организм.</w:t>
      </w:r>
    </w:p>
    <w:p>
      <w:pPr>
        <w:pStyle w:val="Style34"/>
        <w:keepNext w:val="0"/>
        <w:keepLines w:val="0"/>
        <w:widowControl w:val="0"/>
        <w:numPr>
          <w:ilvl w:val="0"/>
          <w:numId w:val="47"/>
        </w:numPr>
        <w:shd w:val="clear" w:color="auto" w:fill="auto"/>
        <w:tabs>
          <w:tab w:pos="284" w:val="left"/>
        </w:tabs>
        <w:bidi w:val="0"/>
        <w:spacing w:before="0" w:after="0" w:line="228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Современные представления о кроветворении. Клетки кост</w:t>
        <w:softHyphen/>
        <w:t>ного мозга: закономерности их пролиферации, дифференци</w:t>
        <w:softHyphen/>
        <w:t>ровки и созревания. Клетки периферической крови: их функ</w:t>
        <w:softHyphen/>
        <w:t>ции и продолжительность циркуляции в крови.</w:t>
      </w:r>
    </w:p>
    <w:p>
      <w:pPr>
        <w:pStyle w:val="Style34"/>
        <w:keepNext w:val="0"/>
        <w:keepLines w:val="0"/>
        <w:widowControl w:val="0"/>
        <w:numPr>
          <w:ilvl w:val="0"/>
          <w:numId w:val="47"/>
        </w:numPr>
        <w:shd w:val="clear" w:color="auto" w:fill="auto"/>
        <w:tabs>
          <w:tab w:pos="289" w:val="left"/>
        </w:tabs>
        <w:bidi w:val="0"/>
        <w:spacing w:before="0" w:after="0" w:line="230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Современные представления о системе обновления кишечно</w:t>
        <w:softHyphen/>
        <w:t>го эпителия. Функции и продолжительность жизни клеток эпителия тонкой кишки.</w:t>
      </w:r>
    </w:p>
    <w:p>
      <w:pPr>
        <w:pStyle w:val="Style34"/>
        <w:keepNext w:val="0"/>
        <w:keepLines w:val="0"/>
        <w:widowControl w:val="0"/>
        <w:numPr>
          <w:ilvl w:val="0"/>
          <w:numId w:val="47"/>
        </w:numPr>
        <w:shd w:val="clear" w:color="auto" w:fill="auto"/>
        <w:tabs>
          <w:tab w:pos="289" w:val="left"/>
        </w:tabs>
        <w:bidi w:val="0"/>
        <w:spacing w:before="0" w:after="0" w:line="228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Строение и функции центральной нервной системы. Меха</w:t>
        <w:softHyphen/>
        <w:t>низмы гибели и репарации нейронов.</w:t>
      </w:r>
    </w:p>
    <w:p>
      <w:pPr>
        <w:pStyle w:val="Style34"/>
        <w:keepNext w:val="0"/>
        <w:keepLines w:val="0"/>
        <w:widowControl w:val="0"/>
        <w:numPr>
          <w:ilvl w:val="0"/>
          <w:numId w:val="47"/>
        </w:numPr>
        <w:shd w:val="clear" w:color="auto" w:fill="auto"/>
        <w:tabs>
          <w:tab w:pos="289" w:val="left"/>
        </w:tabs>
        <w:bidi w:val="0"/>
        <w:spacing w:before="0" w:after="520" w:line="228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Фармакологическая характеристика антиэметиков, стимулято</w:t>
        <w:softHyphen/>
        <w:t>ров гемопоэза, антибиотиков широкого спектра действия, ан- тигеморрагических препаратов, дезинтоксикационных средств и методов.</w:t>
      </w:r>
    </w:p>
    <w:p>
      <w:pPr>
        <w:pStyle w:val="Style44"/>
        <w:keepNext/>
        <w:keepLines/>
        <w:widowControl w:val="0"/>
        <w:numPr>
          <w:ilvl w:val="1"/>
          <w:numId w:val="49"/>
        </w:numPr>
        <w:shd w:val="clear" w:color="auto" w:fill="auto"/>
        <w:tabs>
          <w:tab w:pos="438" w:val="left"/>
        </w:tabs>
        <w:bidi w:val="0"/>
        <w:spacing w:before="0" w:after="0" w:line="228" w:lineRule="auto"/>
        <w:ind w:left="0" w:right="0" w:firstLine="0"/>
        <w:jc w:val="center"/>
      </w:pPr>
      <w:bookmarkStart w:id="39" w:name="bookmark39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КЛАССИФИКАЦИЯ ЛУЧЕВЫХ ПОРАЖЕНИЙ</w:t>
      </w:r>
      <w:bookmarkEnd w:id="39"/>
    </w:p>
    <w:p>
      <w:pPr>
        <w:pStyle w:val="Style44"/>
        <w:keepNext/>
        <w:keepLines/>
        <w:widowControl w:val="0"/>
        <w:shd w:val="clear" w:color="auto" w:fill="auto"/>
        <w:bidi w:val="0"/>
        <w:spacing w:before="0" w:after="260" w:line="228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ЗАВИСИМОСТИ ОТ ВИДА И УСЛОВИЙ ВОЗДЕЙСТВИЯ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Лучевые поражения человека могут развиться вследствие внеш</w:t>
        <w:softHyphen/>
        <w:t>него облучения, аппликации радиоактивных веществ на кожные покровы и слизистые оболочки, проникновения радионуклидов во внутренние среды организма (инкорпорации), сочетанного воздействия различных видов ионизирующих излучений, а так</w:t>
        <w:softHyphen/>
        <w:t>же комбинированного воздействия радиации и факторов нера</w:t>
        <w:softHyphen/>
        <w:t>диационной природы (травмы, ожоги, ранения и пр.). При этом выделяют:</w:t>
      </w:r>
    </w:p>
    <w:p>
      <w:pPr>
        <w:pStyle w:val="Style34"/>
        <w:keepNext w:val="0"/>
        <w:keepLines w:val="0"/>
        <w:widowControl w:val="0"/>
        <w:numPr>
          <w:ilvl w:val="0"/>
          <w:numId w:val="51"/>
        </w:numPr>
        <w:shd w:val="clear" w:color="auto" w:fill="auto"/>
        <w:tabs>
          <w:tab w:pos="600" w:val="left"/>
        </w:tabs>
        <w:bidi w:val="0"/>
        <w:spacing w:before="0" w:after="0" w:line="228" w:lineRule="auto"/>
        <w:ind w:left="600" w:right="0" w:hanging="260"/>
        <w:jc w:val="both"/>
        <w:sectPr>
          <w:footerReference w:type="default" r:id="rId106"/>
          <w:footerReference w:type="even" r:id="rId107"/>
          <w:footnotePr>
            <w:pos w:val="pageBottom"/>
            <w:numFmt w:val="chicago"/>
            <w:numRestart w:val="continuous"/>
            <w15:footnoteColumns w:val="1"/>
          </w:footnotePr>
          <w:pgSz w:w="8434" w:h="12594"/>
          <w:pgMar w:top="1353" w:right="920" w:bottom="1038" w:left="124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Лучевые поражения от внешнего облучения: поражения в результате общего (тотального) облучения; местные луче</w:t>
        <w:softHyphen/>
        <w:t>вые поражения от внешнего облучения.</w:t>
      </w:r>
    </w:p>
    <w:p>
      <w:pPr>
        <w:pStyle w:val="Style34"/>
        <w:keepNext w:val="0"/>
        <w:keepLines w:val="0"/>
        <w:widowControl w:val="0"/>
        <w:numPr>
          <w:ilvl w:val="0"/>
          <w:numId w:val="51"/>
        </w:numPr>
        <w:shd w:val="clear" w:color="auto" w:fill="auto"/>
        <w:tabs>
          <w:tab w:pos="619" w:val="left"/>
        </w:tabs>
        <w:bidi w:val="0"/>
        <w:spacing w:before="0" w:after="0" w:line="228" w:lineRule="auto"/>
        <w:ind w:left="58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Поражения от наружного заражения покровных тканей ра</w:t>
        <w:softHyphen/>
        <w:t>дионуклидами.</w:t>
      </w:r>
    </w:p>
    <w:p>
      <w:pPr>
        <w:pStyle w:val="Style34"/>
        <w:keepNext w:val="0"/>
        <w:keepLines w:val="0"/>
        <w:widowControl w:val="0"/>
        <w:numPr>
          <w:ilvl w:val="0"/>
          <w:numId w:val="51"/>
        </w:numPr>
        <w:shd w:val="clear" w:color="auto" w:fill="auto"/>
        <w:tabs>
          <w:tab w:pos="619" w:val="left"/>
        </w:tabs>
        <w:bidi w:val="0"/>
        <w:spacing w:before="0" w:after="0" w:line="228" w:lineRule="auto"/>
        <w:ind w:left="58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Поражения от внутреннего радиоактивного заражения.</w:t>
      </w:r>
    </w:p>
    <w:p>
      <w:pPr>
        <w:pStyle w:val="Style34"/>
        <w:keepNext w:val="0"/>
        <w:keepLines w:val="0"/>
        <w:widowControl w:val="0"/>
        <w:numPr>
          <w:ilvl w:val="0"/>
          <w:numId w:val="51"/>
        </w:numPr>
        <w:shd w:val="clear" w:color="auto" w:fill="auto"/>
        <w:tabs>
          <w:tab w:pos="624" w:val="left"/>
        </w:tabs>
        <w:bidi w:val="0"/>
        <w:spacing w:before="0" w:after="0" w:line="228" w:lineRule="auto"/>
        <w:ind w:left="58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Сочетанные радиационные поражения.</w:t>
      </w:r>
    </w:p>
    <w:p>
      <w:pPr>
        <w:pStyle w:val="Style34"/>
        <w:keepNext w:val="0"/>
        <w:keepLines w:val="0"/>
        <w:widowControl w:val="0"/>
        <w:numPr>
          <w:ilvl w:val="0"/>
          <w:numId w:val="51"/>
        </w:numPr>
        <w:shd w:val="clear" w:color="auto" w:fill="auto"/>
        <w:tabs>
          <w:tab w:pos="619" w:val="left"/>
        </w:tabs>
        <w:bidi w:val="0"/>
        <w:spacing w:before="0" w:after="0" w:line="228" w:lineRule="auto"/>
        <w:ind w:left="58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Комбинированные радиационные поражения.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Формирующаяся при этом патология характеризуется много</w:t>
        <w:softHyphen/>
        <w:t>образием клинических форм, закономерностью развития, чет</w:t>
        <w:softHyphen/>
        <w:t>кой зависимостью между величиной лучевого воздействия (до</w:t>
        <w:softHyphen/>
        <w:t>зой облучения) и тяжестью заболевания.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Лучевые поражения от внешнего облучения можно класси</w:t>
        <w:softHyphen/>
        <w:t>фицировать в зависимости от вида излучения, условий лучевого воздействия (от способа облучения, от распределения погло</w:t>
        <w:softHyphen/>
        <w:t>щенной дозы в объеме тела и во времени) и от дозы облучения.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 виду действующего излучения при внешнем облучении различают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footnoteReference w:id="5"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:</w:t>
      </w:r>
    </w:p>
    <w:p>
      <w:pPr>
        <w:pStyle w:val="Style34"/>
        <w:keepNext w:val="0"/>
        <w:keepLines w:val="0"/>
        <w:widowControl w:val="0"/>
        <w:numPr>
          <w:ilvl w:val="0"/>
          <w:numId w:val="53"/>
        </w:numPr>
        <w:shd w:val="clear" w:color="auto" w:fill="auto"/>
        <w:tabs>
          <w:tab w:pos="566" w:val="left"/>
        </w:tabs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лучевые поражения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от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у-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или рентгеновского излучения;</w:t>
      </w:r>
    </w:p>
    <w:p>
      <w:pPr>
        <w:pStyle w:val="Style34"/>
        <w:keepNext w:val="0"/>
        <w:keepLines w:val="0"/>
        <w:widowControl w:val="0"/>
        <w:numPr>
          <w:ilvl w:val="0"/>
          <w:numId w:val="53"/>
        </w:numPr>
        <w:shd w:val="clear" w:color="auto" w:fill="auto"/>
        <w:tabs>
          <w:tab w:pos="566" w:val="left"/>
        </w:tabs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лучевые поражения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от нейтронного излучения;</w:t>
      </w:r>
    </w:p>
    <w:p>
      <w:pPr>
        <w:pStyle w:val="Style34"/>
        <w:keepNext w:val="0"/>
        <w:keepLines w:val="0"/>
        <w:widowControl w:val="0"/>
        <w:numPr>
          <w:ilvl w:val="0"/>
          <w:numId w:val="53"/>
        </w:numPr>
        <w:shd w:val="clear" w:color="auto" w:fill="auto"/>
        <w:tabs>
          <w:tab w:pos="566" w:val="left"/>
        </w:tabs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лучевые поражения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от $-излучения.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Рентгеновские и у-лучи, а также нейтроны высоких энергий характеризуются высокой проникающей способностью и оказы</w:t>
        <w:softHyphen/>
        <w:t>вают повреждающее воздействие на все ткани, лежащие на пути пучка. Результатом общего (тотального) облучения человека этими видами ионизирующих излучений в соответствующей дозе может стать острая лучевая болезнь.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р-Излучение, исходящее от радиоактивных источников, на</w:t>
        <w:softHyphen/>
        <w:t>ходящихся вблизи человека, обладает невысокой проникающей способностью, вследствие чего оно может явиться причиной по</w:t>
        <w:softHyphen/>
        <w:t>ражения только кожных покровов или слизистых оболочек. Од</w:t>
        <w:softHyphen/>
        <w:t>нако, добавляясь к воздействию у-излучения, эффект р-воздей- ствия может существенно утяжелить общее поражение.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Зависимость формы лучевого поражения от способа облуче</w:t>
        <w:softHyphen/>
        <w:t>ния представлена в табл. 6.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 зависимости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от характера распределения поглощенной дозы внешнего облучения в объеме тела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могут возникнуть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общие (то</w:t>
        <w:softHyphen/>
        <w:t>тальные)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местные (локальные)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лучевые поражения.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34" w:h="12594"/>
          <w:pgMar w:top="1278" w:right="257" w:bottom="656" w:left="191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Лучевые поражения при общем облучении развиваются вследствие равномерного и неравномерного радиационного воз</w:t>
        <w:softHyphen/>
        <w:t>действия. Неравномерность распределения дозы определяется</w:t>
      </w:r>
    </w:p>
    <w:p>
      <w:pPr>
        <w:pStyle w:val="Style71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right"/>
        <w:rPr>
          <w:sz w:val="15"/>
          <w:szCs w:val="15"/>
        </w:rPr>
      </w:pPr>
      <w:r>
        <w:rPr>
          <w:b w:val="0"/>
          <w:bCs w:val="0"/>
          <w:i/>
          <w:iCs/>
          <w:spacing w:val="0"/>
          <w:w w:val="100"/>
          <w:position w:val="0"/>
          <w:sz w:val="15"/>
          <w:szCs w:val="15"/>
          <w:shd w:val="clear" w:color="auto" w:fill="auto"/>
          <w:lang w:val="ru-RU" w:eastAsia="ru-RU" w:bidi="ru-RU"/>
        </w:rPr>
        <w:t>Таблица 6</w:t>
      </w:r>
    </w:p>
    <w:p>
      <w:pPr>
        <w:pStyle w:val="Style71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Зависимость клинической формы лучевого поражения от условий радиационного воздействия</w:t>
      </w:r>
    </w:p>
    <w:tbl>
      <w:tblPr>
        <w:tblOverlap w:val="never"/>
        <w:jc w:val="center"/>
        <w:tblLayout w:type="fixed"/>
      </w:tblPr>
      <w:tblGrid>
        <w:gridCol w:w="3125"/>
        <w:gridCol w:w="3134"/>
      </w:tblGrid>
      <w:tr>
        <w:trPr>
          <w:trHeight w:val="470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54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Условия радиационного воздействия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420"/>
              <w:jc w:val="both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Форма лучевого поражения</w:t>
            </w:r>
          </w:p>
        </w:tc>
      </w:tr>
      <w:tr>
        <w:trPr>
          <w:trHeight w:val="254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Острое общее внешнее облучение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Острая лучевая болезнь</w:t>
            </w:r>
          </w:p>
        </w:tc>
      </w:tr>
      <w:tr>
        <w:trPr>
          <w:trHeight w:val="259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Локальное облучение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Местное лучевое поражение</w:t>
            </w:r>
          </w:p>
        </w:tc>
      </w:tr>
      <w:tr>
        <w:trPr>
          <w:trHeight w:val="254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Сочетанное облучение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Сочетанное радиационное поражение</w:t>
            </w:r>
          </w:p>
        </w:tc>
      </w:tr>
      <w:tr>
        <w:trPr>
          <w:trHeight w:val="446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Комбинированное радиационное воздействие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Комбинированное радиационное поражение</w:t>
            </w:r>
          </w:p>
        </w:tc>
      </w:tr>
      <w:tr>
        <w:trPr>
          <w:trHeight w:val="283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Хроническое облучение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Хроническая лучевая болезнь</w:t>
            </w:r>
          </w:p>
        </w:tc>
      </w:tr>
    </w:tbl>
    <w:p>
      <w:pPr>
        <w:widowControl w:val="0"/>
        <w:spacing w:after="159" w:line="1" w:lineRule="exact"/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экранированием отдельных областей тела, а также внутренним поглощением при прохождении излучения через толщу тканей. В реальных условиях облучение всегда в той или иной степени неравномерно. Однако, если различия в дозах, поглощенных разными участками тела, не превышают 10—15%, клиническое течение лучевого поражения практически полностью соответст</w:t>
        <w:softHyphen/>
        <w:t>вует равномерному облучению.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локальном облучении в дозах, превышающих радиаци</w:t>
        <w:softHyphen/>
        <w:t>онную устойчивость тканей, находящихся на пути пучка, разви</w:t>
        <w:softHyphen/>
        <w:t>ваются местные лучевые поражения. Такие поражения чаще все</w:t>
        <w:softHyphen/>
        <w:t>го формируются при случайных находках радионуклидов или проявляются как осложнения лучевой терапии опухолей, но мо</w:t>
        <w:softHyphen/>
        <w:t xml:space="preserve">гут возникнуть и при радиационных авариях (катастрофах). Если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же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местное повреждение тканей происходит на фоне общего об</w:t>
        <w:softHyphen/>
        <w:t>лучения в дозах, приводящих к развитию острой лучевой болез</w:t>
        <w:softHyphen/>
        <w:t>ни, такое лучевое поражение называют сочетанным.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36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34" w:h="12594"/>
          <w:pgMar w:top="1283" w:right="943" w:bottom="1141" w:left="120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 зависимости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от длительности радиационного воздействия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(временные условия облучения) выделяют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острые, подострые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хронические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формы лучевого поражения. Развитие острого пора</w:t>
        <w:softHyphen/>
        <w:t>жения (особенно это относится к острой лучевой болезни) ха</w:t>
        <w:softHyphen/>
        <w:t>рактерно для варианта облучения, при котором продолжитель</w:t>
        <w:softHyphen/>
        <w:t>ность периода набора поражающей дозы не превышает 1—1,5 не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дели.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более длительном (пролонгированном) облучении развиваются подострые формы поражения. Если же общая про</w:t>
        <w:softHyphen/>
        <w:t>должительность облучения превышает несколько месяцев или лет, развиваются хронические формы поражения. При этом важ</w:t>
        <w:softHyphen/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на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общая длительность облучения и несущественно, было ли об</w:t>
        <w:softHyphen/>
        <w:t>лучение непрерывным или фракционированным.</w:t>
      </w:r>
    </w:p>
    <w:p>
      <w:pPr>
        <w:widowControl w:val="0"/>
        <w:spacing w:line="1" w:lineRule="exact"/>
      </w:pPr>
      <w:r>
        <w:drawing>
          <wp:anchor distT="0" distB="0" distL="114300" distR="114300" simplePos="0" relativeHeight="125829382" behindDoc="0" locked="0" layoutInCell="1" allowOverlap="1">
            <wp:simplePos x="0" y="0"/>
            <wp:positionH relativeFrom="page">
              <wp:posOffset>24130</wp:posOffset>
            </wp:positionH>
            <wp:positionV relativeFrom="paragraph">
              <wp:posOffset>12700</wp:posOffset>
            </wp:positionV>
            <wp:extent cx="603250" cy="7717790"/>
            <wp:wrapSquare wrapText="bothSides"/>
            <wp:docPr id="154" name="Shape 15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" name="Picture box 155"/>
                    <pic:cNvPicPr/>
                  </pic:nvPicPr>
                  <pic:blipFill>
                    <a:blip r:embed="rId108"/>
                    <a:stretch/>
                  </pic:blipFill>
                  <pic:spPr>
                    <a:xfrm>
                      <a:ext cx="603250" cy="771779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Тяжесть лучевого поражения зависит главным образом от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дозы облучения.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Именно доза является основным фактором, определяющим степень тяжести лучевого поражения, а при внешнем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у-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или нейтронном радиационном воздействии — и развитие той или иной формы острой лучевой болезни.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Наиболее изученной формой лучевого поражения является острая лучевая болезнь (ОЛБ). Патогенетическую основу ОЛБ составляет несовместимое с нормальной жизнедеятельностью поражение «критических» органов и систем — костного мозга, эпителия тонкого кишечника, центральной нервной системы, в результате чего формируются основные клинические синдромы заболевания — костномозговой, кишечный или церебральный, а также переходные формы или их сочетания.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Под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критическими органами (системами)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понимают жизнен</w:t>
        <w:softHyphen/>
        <w:t>но важные органы (системы), поражение которых в данном диа</w:t>
        <w:softHyphen/>
        <w:t>пазоне доз облучения определяет клиническую картину и исход лучевого поражения. Другими словами, критические органы (системы) первыми выходят из строя в исследуемом диапазоне доз излучения, что приводит к формированию определенных синдромов лучевого поражения и обусловливает гибель организ</w:t>
        <w:softHyphen/>
        <w:t>ма в определенные сроки после облучения.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Острая лучевая болезнь (ОЛБ) —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это нозологическая форма, развивающаяся в результате кратковременного равномерного или относительно равномерного внешнего рентгеновского, у- и (или) нейтронного облучения всего организма или большей его части в дозе, превышающей 1 Гр.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Если какое-либо из перечисленных условий не соблюдается, возникающее лучевое поражение будет иметь характер, не укла</w:t>
        <w:softHyphen/>
        <w:t>дывающийся в понятие ОЛБ. Так, если продолжительность пе</w:t>
        <w:softHyphen/>
        <w:t>риода, в течение которого набирается большая часть дозы, пре</w:t>
        <w:softHyphen/>
        <w:t>вышает, ориентировочно, полторы недели, процесс приобретает подострое течение. Если доза, приводящая к развитию пораже</w:t>
        <w:softHyphen/>
        <w:t>ния, накапливается в течение нескольких месяцев или лет, мож</w:t>
        <w:softHyphen/>
        <w:t>но ожидать формирования хронической лучевой болезни. При экранировании во время облучения значительных по объему об</w:t>
        <w:softHyphen/>
        <w:t>ластей тела или при локальном облучении клиническая картина определяется, по преимуществу, местным поражением облучен</w:t>
        <w:softHyphen/>
        <w:t>ных участков. Если доза облучения не превышает 1 Гр, острая лучевая болезнь не развивается.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4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 уже отмечалось выше, в зависимости от дозы облучения в клинике ОЛБ преобладают проявления костномозгового,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  <w:sectPr>
          <w:footerReference w:type="default" r:id="rId110"/>
          <w:footerReference w:type="even" r:id="rId111"/>
          <w:footnotePr>
            <w:pos w:val="pageBottom"/>
            <w:numFmt w:val="chicago"/>
            <w:numRestart w:val="continuous"/>
            <w15:footnoteColumns w:val="1"/>
          </w:footnotePr>
          <w:pgSz w:w="8434" w:h="12594"/>
          <w:pgMar w:top="168" w:right="346" w:bottom="77" w:left="1810" w:header="0" w:footer="3" w:gutter="0"/>
          <w:cols w:space="720"/>
          <w:noEndnote/>
          <w:rtlGutter w:val="0"/>
          <w:docGrid w:linePitch="360"/>
        </w:sectPr>
      </w:pPr>
      <w:r>
        <w:rPr>
          <w:b/>
          <w:bCs/>
          <w:spacing w:val="0"/>
          <w:w w:val="100"/>
          <w:position w:val="0"/>
          <w:shd w:val="clear" w:color="auto" w:fill="auto"/>
          <w:lang w:val="en-US" w:eastAsia="en-US" w:bidi="en-US"/>
        </w:rPr>
        <w:t>SS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кишечного или церебрального синдромов. В соответствии с этим выделяют различные клинические формы острой лучевой болезни (табл. 7).</w:t>
      </w:r>
    </w:p>
    <w:p>
      <w:pPr>
        <w:pStyle w:val="Style71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right"/>
        <w:rPr>
          <w:sz w:val="15"/>
          <w:szCs w:val="15"/>
        </w:rPr>
      </w:pPr>
      <w:r>
        <w:rPr>
          <w:b w:val="0"/>
          <w:bCs w:val="0"/>
          <w:i/>
          <w:iCs/>
          <w:spacing w:val="0"/>
          <w:w w:val="100"/>
          <w:position w:val="0"/>
          <w:sz w:val="15"/>
          <w:szCs w:val="15"/>
          <w:shd w:val="clear" w:color="auto" w:fill="auto"/>
          <w:lang w:val="ru-RU" w:eastAsia="ru-RU" w:bidi="ru-RU"/>
        </w:rPr>
        <w:t>Таблица</w:t>
      </w:r>
      <w:r>
        <w:rPr>
          <w:b w:val="0"/>
          <w:bCs w:val="0"/>
          <w:spacing w:val="0"/>
          <w:w w:val="100"/>
          <w:position w:val="0"/>
          <w:sz w:val="15"/>
          <w:szCs w:val="15"/>
          <w:shd w:val="clear" w:color="auto" w:fill="auto"/>
          <w:lang w:val="ru-RU" w:eastAsia="ru-RU" w:bidi="ru-RU"/>
        </w:rPr>
        <w:t xml:space="preserve"> 7</w:t>
      </w:r>
    </w:p>
    <w:p>
      <w:pPr>
        <w:pStyle w:val="Style71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Клинические формы и степени тяжести острой лучевой болезни, вызванной общим внешним относительно равномерным облучением</w:t>
      </w:r>
    </w:p>
    <w:tbl>
      <w:tblPr>
        <w:tblOverlap w:val="never"/>
        <w:jc w:val="center"/>
        <w:tblLayout w:type="fixed"/>
      </w:tblPr>
      <w:tblGrid>
        <w:gridCol w:w="926"/>
        <w:gridCol w:w="1339"/>
        <w:gridCol w:w="1061"/>
        <w:gridCol w:w="1483"/>
        <w:gridCol w:w="710"/>
        <w:gridCol w:w="749"/>
      </w:tblGrid>
      <w:tr>
        <w:trPr>
          <w:trHeight w:val="648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Доза, Гр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54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Клиническая форма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54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Степень тяжести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Прогноз для жизни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54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Смерт</w:t>
              <w:softHyphen/>
              <w:t>ность, %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52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Сроки гибели, сутки</w:t>
            </w:r>
          </w:p>
        </w:tc>
      </w:tr>
      <w:tr>
        <w:trPr>
          <w:trHeight w:val="461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1-2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Костномозговая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I (легкая)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Абсолютно благоприятный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300"/>
              <w:jc w:val="both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-</w:t>
            </w:r>
          </w:p>
        </w:tc>
      </w:tr>
      <w:tr>
        <w:trPr>
          <w:trHeight w:val="461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2-4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II (средняя)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2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Относительно благоприятный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40-60</w:t>
            </w:r>
          </w:p>
        </w:tc>
      </w:tr>
      <w:tr>
        <w:trPr>
          <w:trHeight w:val="269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3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4-6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 xml:space="preserve">III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(тяжелая)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Сомнительный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30-40</w:t>
            </w:r>
          </w:p>
        </w:tc>
      </w:tr>
      <w:tr>
        <w:trPr>
          <w:trHeight w:val="461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6-10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IV (крайне тяжелая)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Неблагоприятный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95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10-20</w:t>
            </w:r>
          </w:p>
        </w:tc>
      </w:tr>
      <w:tr>
        <w:trPr>
          <w:trHeight w:val="461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4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10-20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Кишечная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Абсолютно неблагоприятный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8-16</w:t>
            </w:r>
          </w:p>
        </w:tc>
      </w:tr>
      <w:tr>
        <w:trPr>
          <w:trHeight w:val="456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4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20-50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2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Токсемическая (сосудистая)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4-7</w:t>
            </w:r>
          </w:p>
        </w:tc>
      </w:tr>
      <w:tr>
        <w:trPr>
          <w:trHeight w:val="302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Более 50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Церебральная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1-3</w:t>
            </w:r>
          </w:p>
        </w:tc>
      </w:tr>
    </w:tbl>
    <w:p>
      <w:pPr>
        <w:widowControl w:val="0"/>
        <w:spacing w:after="179" w:line="1" w:lineRule="exact"/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Наблюдающиеся после облучения в дозе ниже 1 Гр незначи</w:t>
        <w:softHyphen/>
        <w:t>тельные клинические и гематологические проявления обознача</w:t>
        <w:softHyphen/>
        <w:t xml:space="preserve">ют как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острую лучевую реакцию.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частности, у лиц, облученных в дозах 0,5—0,8 Гр, в ранний период может наблюдаться сла</w:t>
        <w:softHyphen/>
        <w:t>бость, преходящие проявления нейроциркуляторной дистонии, иногда тошнота, а при длительном и тщательном наблюдении через 6—7 недель после острого облучения может быть обнару</w:t>
        <w:softHyphen/>
        <w:t>жено небольшое (до нижней границы нормы) снижение числа нейтрофилов и тромбоцитов.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34" w:h="12594"/>
          <w:pgMar w:top="1324" w:right="934" w:bottom="1105" w:left="121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При облучении в дозах от 1 до 10 Гр формируется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>костномоз</w:t>
        <w:softHyphen/>
        <w:t xml:space="preserve">говая форма ОЛБ.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Эту форму называют также «типичной», по</w:t>
        <w:softHyphen/>
        <w:t>скольку именно при ней наиболее ярко проявляются особенно</w:t>
        <w:softHyphen/>
        <w:t>сти патогенеза и течения ОЛБ, характеризующая ее клиническая симптоматика, чему в значительной мере способствует доста</w:t>
        <w:softHyphen/>
        <w:t>точно большая продолжительность жизни при костномозговой форме, даже если болезнь заканчивается смертельным исходом. Как видно из названия, развивающийся патологический про</w:t>
        <w:softHyphen/>
        <w:t>цесс в данном случае определяется прежде всего поражением</w:t>
      </w:r>
    </w:p>
    <w:p>
      <w:pPr>
        <w:widowControl w:val="0"/>
        <w:jc w:val="center"/>
        <w:rPr>
          <w:sz w:val="2"/>
          <w:szCs w:val="2"/>
        </w:rPr>
        <w:sectPr>
          <w:footnotePr>
            <w:pos w:val="pageBottom"/>
            <w:numFmt w:val="chicago"/>
            <w:numRestart w:val="continuous"/>
            <w15:footnoteColumns w:val="1"/>
          </w:footnotePr>
          <w:pgSz w:w="12590" w:h="8737" w:orient="landscape"/>
          <w:pgMar w:top="131" w:right="220" w:bottom="40" w:left="278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7680960" cy="5315585"/>
            <wp:docPr id="158" name="Picutre 15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Picture 158"/>
                    <pic:cNvPicPr/>
                  </pic:nvPicPr>
                  <pic:blipFill>
                    <a:blip r:embed="rId112"/>
                    <a:stretch/>
                  </pic:blipFill>
                  <pic:spPr>
                    <a:xfrm>
                      <a:ext cx="7680960" cy="531558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кроветворной ткани, проявляющимся инфекционными ослож</w:t>
        <w:softHyphen/>
        <w:t>нениями, кровоточивостью, анемией.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облучении в дозах от 10 до 20 Гр клиническую симптома</w:t>
        <w:softHyphen/>
        <w:t>тику и исходы поражения будут определять процессы, протекаю</w:t>
        <w:softHyphen/>
        <w:t xml:space="preserve">щие в эпителии тонкой кишки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(кишечная форма ОЛБ).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</w:t>
        <w:softHyphen/>
        <w:t>онное воздействие в дозах от 20 до 50 Гр приводит к формирова</w:t>
        <w:softHyphen/>
        <w:t xml:space="preserve">нию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токсемической формы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ОЛБ, характеризующейся массивным поражением практически всех паренхиматозных органов и раз</w:t>
        <w:softHyphen/>
        <w:t>вивающейся вследствие этого токсемией. При облучении орга</w:t>
        <w:softHyphen/>
        <w:t xml:space="preserve">низма в дозах свыше 50 Гр на первый план выходит поражение центральной нервной системы, что и послужило основанием для того, чтобы назвать данный вариант лучевой патологии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>цереб</w:t>
        <w:softHyphen/>
        <w:t>ральной формой ОЛБ.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500" w:line="230" w:lineRule="auto"/>
        <w:ind w:left="0" w:right="0" w:firstLine="320"/>
        <w:jc w:val="both"/>
      </w:pPr>
      <w:bookmarkStart w:id="42" w:name="bookmark42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Схематично все многообразие клинических форм радиаци</w:t>
        <w:softHyphen/>
        <w:t>онных поражений представлено на рис. 11.</w:t>
      </w:r>
      <w:bookmarkEnd w:id="42"/>
    </w:p>
    <w:p>
      <w:pPr>
        <w:pStyle w:val="Style44"/>
        <w:keepNext/>
        <w:keepLines/>
        <w:widowControl w:val="0"/>
        <w:numPr>
          <w:ilvl w:val="1"/>
          <w:numId w:val="49"/>
        </w:numPr>
        <w:shd w:val="clear" w:color="auto" w:fill="auto"/>
        <w:tabs>
          <w:tab w:pos="438" w:val="left"/>
        </w:tabs>
        <w:bidi w:val="0"/>
        <w:spacing w:before="0" w:after="260" w:line="228" w:lineRule="auto"/>
        <w:ind w:left="0" w:right="0" w:firstLine="0"/>
        <w:jc w:val="center"/>
      </w:pPr>
      <w:bookmarkStart w:id="43" w:name="bookmark43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КОСТНОМОЗГОВАЯ ФОРМА ОСТРОЙ ЛУЧЕВОЙ БОЛЕЗНИ</w:t>
      </w:r>
      <w:bookmarkEnd w:id="43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остром внешнем облучении в дозах от 1 до 10 Гр судьба ор</w:t>
        <w:softHyphen/>
        <w:t>ганизма определяется поражением преимущественно кроветвор</w:t>
        <w:softHyphen/>
        <w:t>ной ткани. Связано это с тем, что система крови относится к числу систем клеточного самообновления, функционирование которых обеспечивает поддержание постоянного числа функци</w:t>
        <w:softHyphen/>
        <w:t>онально зрелых клеток, обладающих относительно короткой продолжительностью жизни (рис. 12).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60" w:line="228" w:lineRule="auto"/>
        <w:ind w:left="0" w:right="0" w:firstLine="320"/>
        <w:jc w:val="both"/>
        <w:sectPr>
          <w:footerReference w:type="default" r:id="rId114"/>
          <w:footerReference w:type="even" r:id="rId115"/>
          <w:footnotePr>
            <w:pos w:val="pageBottom"/>
            <w:numFmt w:val="chicago"/>
            <w:numRestart w:val="continuous"/>
            <w15:footnoteColumns w:val="1"/>
          </w:footnotePr>
          <w:pgSz w:w="7608" w:h="12533"/>
          <w:pgMar w:top="1373" w:right="605" w:bottom="986" w:left="73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Так, сразу после воздействия радиации в клетках костного мозга происходит приостановка клеточного деления (радиаци</w:t>
        <w:softHyphen/>
        <w:t>онный блок митозов), которая тем продолжительнее, чем выше доза облучения. По выходу из блока митозов часть клеток, в ко</w:t>
        <w:softHyphen/>
        <w:t>торых повреждения ядерной ДНК не были репарированы, под</w:t>
        <w:softHyphen/>
        <w:t>вергаются репродуктивной гибели, а часть клеток погибают по интерфазному типу. С повышением дозы число погибающих клеток увеличивается. Среди всех клеток костного мозга наибо</w:t>
        <w:softHyphen/>
        <w:t>льшей радиочувствительностью обладают клетки стволового от</w:t>
        <w:softHyphen/>
        <w:t>дела, вследствие чего их число резко снижается практически сразу после облучения. Чуть менее высокой радиочувствитель</w:t>
        <w:softHyphen/>
        <w:t>ностью обладают клетки пула пролиферации, что также обуслов</w:t>
        <w:softHyphen/>
        <w:t>ливает гибель значительного их числа после радиационного воз</w:t>
        <w:softHyphen/>
        <w:t>действия. Радиочувствительность клеток пула созревания срав</w:t>
        <w:softHyphen/>
        <w:t>нительно невысока, в связи с чем большинство этих клеток</w:t>
      </w:r>
    </w:p>
    <w:p>
      <w:pPr>
        <w:framePr w:w="6182" w:h="2827" w:vSpace="490" w:wrap="notBeside" w:vAnchor="text" w:hAnchor="text" w:x="37" w:y="491"/>
        <w:widowControl w:val="0"/>
        <w:rPr>
          <w:sz w:val="2"/>
          <w:szCs w:val="2"/>
        </w:rPr>
      </w:pPr>
      <w:r>
        <w:drawing>
          <wp:inline>
            <wp:extent cx="3925570" cy="1798320"/>
            <wp:docPr id="163" name="Picutre 16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" name="Picture 163"/>
                    <pic:cNvPicPr/>
                  </pic:nvPicPr>
                  <pic:blipFill>
                    <a:blip r:embed="rId116"/>
                    <a:stretch/>
                  </pic:blipFill>
                  <pic:spPr>
                    <a:xfrm>
                      <a:ext cx="3925570" cy="17983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</w:pPr>
      <w:r>
        <mc:AlternateContent>
          <mc:Choice Requires="wps">
            <w:drawing>
              <wp:anchor distT="0" distB="0" distL="22860" distR="1738630" simplePos="0" relativeHeight="125829383" behindDoc="0" locked="0" layoutInCell="1" allowOverlap="1">
                <wp:simplePos x="0" y="0"/>
                <wp:positionH relativeFrom="column">
                  <wp:posOffset>132715</wp:posOffset>
                </wp:positionH>
                <wp:positionV relativeFrom="paragraph">
                  <wp:posOffset>0</wp:posOffset>
                </wp:positionV>
                <wp:extent cx="2209800" cy="133985"/>
                <wp:wrapTopAndBottom/>
                <wp:docPr id="164" name="Shape 164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209800" cy="13398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Пул стволовых клеток Пул пролиферации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90" type="#_x0000_t202" style="position:absolute;margin-left:10.450000000000001pt;margin-top:0;width:174.pt;height:10.550000000000001pt;z-index:-125829370;mso-wrap-distance-left:1.8pt;mso-wrap-distance-right:136.90000000000001pt" filled="f" stroked="f">
                <v:textbox inset="0,0,0,0">
                  <w:txbxContent>
                    <w:p>
                      <w:pPr>
                        <w:pStyle w:val="Style4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Пул стволовых клеток Пул пролиферации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22860" distR="2726055" simplePos="0" relativeHeight="125829385" behindDoc="0" locked="0" layoutInCell="1" allowOverlap="1">
                <wp:simplePos x="0" y="0"/>
                <wp:positionH relativeFrom="column">
                  <wp:posOffset>26035</wp:posOffset>
                </wp:positionH>
                <wp:positionV relativeFrom="paragraph">
                  <wp:posOffset>167640</wp:posOffset>
                </wp:positionV>
                <wp:extent cx="1222375" cy="137160"/>
                <wp:wrapTopAndBottom/>
                <wp:docPr id="166" name="Shape 166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222375" cy="13716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Некоммити- Коммити-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92" type="#_x0000_t202" style="position:absolute;margin-left:2.0499999999999998pt;margin-top:13.200000000000001pt;width:96.25pt;height:10.800000000000001pt;z-index:-125829368;mso-wrap-distance-left:1.8pt;mso-wrap-distance-right:214.65000000000001pt" filled="f" stroked="f">
                <v:textbox inset="0,0,0,0">
                  <w:txbxContent>
                    <w:p>
                      <w:pPr>
                        <w:pStyle w:val="Style4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Некоммити- Коммити-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22860" distR="3381375" simplePos="0" relativeHeight="125829387" behindDoc="0" locked="0" layoutInCell="1" allowOverlap="1">
                <wp:simplePos x="0" y="0"/>
                <wp:positionH relativeFrom="column">
                  <wp:posOffset>2580005</wp:posOffset>
                </wp:positionH>
                <wp:positionV relativeFrom="paragraph">
                  <wp:posOffset>6350</wp:posOffset>
                </wp:positionV>
                <wp:extent cx="567055" cy="247015"/>
                <wp:wrapTopAndBottom/>
                <wp:docPr id="168" name="Shape 168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567055" cy="24701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54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Пул созревания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94" type="#_x0000_t202" style="position:absolute;margin-left:203.15000000000001pt;margin-top:0.5pt;width:44.649999999999999pt;height:19.449999999999999pt;z-index:-125829366;mso-wrap-distance-left:1.8pt;mso-wrap-distance-right:266.25pt" filled="f" stroked="f">
                <v:textbox inset="0,0,0,0">
                  <w:txbxContent>
                    <w:p>
                      <w:pPr>
                        <w:pStyle w:val="Style4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54" w:lineRule="auto"/>
                        <w:ind w:left="0" w:right="0" w:firstLine="0"/>
                        <w:jc w:val="center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Пул созревания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22860" distR="3271520" simplePos="0" relativeHeight="125829389" behindDoc="0" locked="0" layoutInCell="1" allowOverlap="1">
                <wp:simplePos x="0" y="0"/>
                <wp:positionH relativeFrom="column">
                  <wp:posOffset>3260090</wp:posOffset>
                </wp:positionH>
                <wp:positionV relativeFrom="paragraph">
                  <wp:posOffset>6350</wp:posOffset>
                </wp:positionV>
                <wp:extent cx="676910" cy="240665"/>
                <wp:wrapTopAndBottom/>
                <wp:docPr id="170" name="Shape 170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676910" cy="24066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Пул функцио</w:t>
                              <w:softHyphen/>
                              <w:t>нальный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96" type="#_x0000_t202" style="position:absolute;margin-left:256.69999999999999pt;margin-top:0.5pt;width:53.300000000000004pt;height:18.949999999999999pt;z-index:-125829364;mso-wrap-distance-left:1.8pt;mso-wrap-distance-right:257.60000000000002pt" filled="f" stroked="f">
                <v:textbox inset="0,0,0,0">
                  <w:txbxContent>
                    <w:p>
                      <w:pPr>
                        <w:pStyle w:val="Style4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Пул функцио</w:t>
                        <w:softHyphen/>
                        <w:t>нальный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22860" distR="577215" simplePos="0" relativeHeight="125829391" behindDoc="0" locked="0" layoutInCell="1" allowOverlap="1">
                <wp:simplePos x="0" y="0"/>
                <wp:positionH relativeFrom="column">
                  <wp:posOffset>290830</wp:posOffset>
                </wp:positionH>
                <wp:positionV relativeFrom="paragraph">
                  <wp:posOffset>2252980</wp:posOffset>
                </wp:positionV>
                <wp:extent cx="3371215" cy="262255"/>
                <wp:wrapTopAndBottom/>
                <wp:docPr id="172" name="Shape 172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3371215" cy="26225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6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i/>
                                <w:iCs/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Рис. 12.</w:t>
                            </w:r>
                            <w:r>
                              <w:rPr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 xml:space="preserve"> Схема функционирования систем клеточного обновления 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(по Т. Флиднеру, 1974)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98" type="#_x0000_t202" style="position:absolute;margin-left:22.900000000000002pt;margin-top:177.40000000000001pt;width:265.44999999999999pt;height:20.650000000000002pt;z-index:-125829362;mso-wrap-distance-left:1.8pt;mso-wrap-distance-right:45.450000000000003pt" filled="f" stroked="f">
                <v:textbox inset="0,0,0,0">
                  <w:txbxContent>
                    <w:p>
                      <w:pPr>
                        <w:pStyle w:val="Style4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66" w:lineRule="auto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Рис. 12.</w:t>
                      </w:r>
                      <w:r>
                        <w:rPr>
                          <w:b/>
                          <w:bCs/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 xml:space="preserve"> Схема функционирования систем клеточного обновления </w:t>
                      </w: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(по Т. Флиднеру, 1974)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сохраняют жизнеспособность, созревают и выходят в перифери</w:t>
        <w:softHyphen/>
        <w:t>ческую кровь. В результате количество клеток в костном мозге, а затем и в периферической крови довольно быстро убывает. При</w:t>
        <w:softHyphen/>
        <w:t>чем сначала снижается число наименее дифференцированных клеток, обладающих наиболее высокой радиочувствительностью (прежде всего, стволовых клеток), а затем процесс опустошения захватывает все более зрелые отделы, так как созревание и выход в кровь созревших клеток продолжаются, а восполнения их чис</w:t>
        <w:softHyphen/>
        <w:t>ла за счет поступления из стволового пула и пула пролиферации нет. Вследствие этого в периферической крови спустя некоторое время развивается цитопения, выраженность которой (т. е. глу</w:t>
        <w:softHyphen/>
        <w:t>бина, время достижения и продолжительность снижения содер</w:t>
        <w:softHyphen/>
        <w:t>жания в периферической крови функционально зрелых клеток) нарастает с увеличением дозы облучения (рис. 13).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050" w:right="370" w:bottom="1050" w:left="177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Начало снижения содержания в крови отдельных видов фун</w:t>
        <w:softHyphen/>
        <w:t>кциональных клеток после облучения и срок, когда глубина это</w:t>
        <w:softHyphen/>
        <w:t>го снижения максимальна, зависят главным образом от времени, в течение которого клетки-предшественники находятся в соста</w:t>
        <w:softHyphen/>
        <w:t>ве пулов пролиферации и созревания, а также от продолжитель</w:t>
        <w:softHyphen/>
        <w:t>ности циркуляции в крови функционально зрелых клеток. Эти параметры различны как для разных клеток, так и для разных видов животных.</w:t>
      </w:r>
    </w:p>
    <w:p>
      <w:pPr>
        <w:pStyle w:val="Style48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963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Пулы в нормальном состоянии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968750" cy="3163570"/>
            <wp:docPr id="174" name="Picutre 17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Picture 174"/>
                    <pic:cNvPicPr/>
                  </pic:nvPicPr>
                  <pic:blipFill>
                    <a:blip r:embed="rId118"/>
                    <a:stretch/>
                  </pic:blipFill>
                  <pic:spPr>
                    <a:xfrm>
                      <a:ext cx="3968750" cy="316357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8"/>
        <w:keepNext w:val="0"/>
        <w:keepLines w:val="0"/>
        <w:widowControl w:val="0"/>
        <w:shd w:val="clear" w:color="auto" w:fill="auto"/>
        <w:bidi w:val="0"/>
        <w:spacing w:before="0" w:after="0" w:line="266" w:lineRule="auto"/>
        <w:ind w:left="0" w:right="0" w:firstLine="0"/>
        <w:jc w:val="center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Рис. 13.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Схема развития опустошения в системе гемопоэза после облучения в высокой дозе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(по В. Бонду и др., 1971)</w:t>
      </w:r>
    </w:p>
    <w:p>
      <w:pPr>
        <w:widowControl w:val="0"/>
        <w:spacing w:after="239" w:line="1" w:lineRule="exact"/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Так, например, у человека время прохождения нейтрофилов через пул пролиферации составляет 4—6 суток, и примерно сто</w:t>
        <w:softHyphen/>
        <w:t>лько же времени требуется для прохождения через пул созрева</w:t>
        <w:softHyphen/>
        <w:t>ния. В периферической крови зрелые нейтрофилы сохраняются в среднем всего 8-10 ч, после чего мигрируют в ткани, где суще</w:t>
        <w:softHyphen/>
        <w:t>ствуют еще 1—2 суток. В соответствии с этими сроками постлу</w:t>
        <w:softHyphen/>
        <w:t>чевая нейтропения у человека начинает обнаруживаться при</w:t>
        <w:softHyphen/>
        <w:t>мерно через 5 суток после облучения, а ее максимум приходится на 12—18-е сутки.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101" w:right="741" w:bottom="735" w:left="139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Предшественники лимфоцитов также образуются из поли- потентной стволовой кроветворной клетки в костном мозге. В-лимфоциты созревают здесь же, а предшественники Т-лим</w:t>
        <w:softHyphen/>
        <w:t>фоцитов мигрируют в тимус, где дозревают в корковом вещест</w:t>
        <w:softHyphen/>
        <w:t>ве. Затем Т- и В-лимфоциты поступают в периферическую кровь, после чего многократно мигрируют через вторичные лим-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фоидные органы (лимфатические узлы, селезенку, миндалины, пейеровы бляшки) для дальнейшего созревания и дифференци</w:t>
        <w:softHyphen/>
        <w:t>ровки. Продолжительность жизни зрелых лимфоцитов может составлять от нескольких суток до десятков лет, но после облу</w:t>
        <w:softHyphen/>
        <w:t>чения количество лимфоцитов в периферической крови резко снижается уже на 1—2-е сутки вследствие гибели значительного их числа по механизму апоптоза.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Тромбоциты развиваются в костном мозге в течение 5-7 суток, а продолжительность их пребывания в крови человека оценивается в 8-10 суток. Вследствие этого минимальный их уровень в периферической крови достигается через 2—2,5 недели после облучения.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Созревание в костном мозге эритроцитов происходит за 7—8 суток, а период их жизни в крови составляет 100-120 суток. Поражение зрелых эритроцитов после облучения невелико, и поэтому даже в случае полного прекращения продукции новых эритроцитов их число в сутки может снизиться примерно на 1%, и анемия развивается очень медленно (если не возникнет крово</w:t>
        <w:softHyphen/>
        <w:t>течения).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Продолжительность радиационного блока митозов зависит от дозы облучения и составляет от нескольких часов до суток, редко более. После выхода из блока сохранившие жизнеспособ</w:t>
        <w:softHyphen/>
        <w:t>ность стволовые клетки возобновляют пролиферацию, создавая тем самым основу для восстановления морфологического соста</w:t>
        <w:softHyphen/>
        <w:t>ва костного мозга, а затем и периферической крови. Первые признаки восстановления числа стволовых кроветворных клеток можно наблюдать уже тогда, когда в крови еще только начинает</w:t>
        <w:softHyphen/>
        <w:t>ся процесс опустошения. Однако полноценное восстановление в стволовом отделе костного мозга реализуется за время, которое необходимо как для восстановления достаточного числа самих стволовых клеток, так и для прохождения клеток через пулы пролиферации и созревания.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Поражение кроветворения и связанные с ним клинические проявления, в первую очередь инфекционные осложнения и по</w:t>
        <w:softHyphen/>
        <w:t xml:space="preserve">вышенная кровоточивость, получили наименование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костномоз</w:t>
        <w:softHyphen/>
        <w:t>гового синдрома,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который лежит в основе одноименной формы ОЛБ, развивающейся после облучения в дозах 1—10 Гр.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клинической картине костномозговой формы ОЛБ наибо</w:t>
        <w:softHyphen/>
        <w:t>лее четко проявляются присущие этой болезни периоды:</w:t>
      </w:r>
    </w:p>
    <w:p>
      <w:pPr>
        <w:pStyle w:val="Style34"/>
        <w:keepNext w:val="0"/>
        <w:keepLines w:val="0"/>
        <w:widowControl w:val="0"/>
        <w:numPr>
          <w:ilvl w:val="0"/>
          <w:numId w:val="55"/>
        </w:numPr>
        <w:shd w:val="clear" w:color="auto" w:fill="auto"/>
        <w:tabs>
          <w:tab w:pos="566" w:val="left"/>
        </w:tabs>
        <w:bidi w:val="0"/>
        <w:spacing w:before="0" w:after="0" w:line="228" w:lineRule="auto"/>
        <w:ind w:left="500" w:right="0" w:hanging="16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18" w:right="389" w:bottom="832" w:left="174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начальный период, или период общей первичной реакции на облучение;</w:t>
      </w:r>
    </w:p>
    <w:p>
      <w:pPr>
        <w:pStyle w:val="Style34"/>
        <w:keepNext w:val="0"/>
        <w:keepLines w:val="0"/>
        <w:widowControl w:val="0"/>
        <w:numPr>
          <w:ilvl w:val="0"/>
          <w:numId w:val="55"/>
        </w:numPr>
        <w:shd w:val="clear" w:color="auto" w:fill="auto"/>
        <w:tabs>
          <w:tab w:pos="546" w:val="left"/>
        </w:tabs>
        <w:bidi w:val="0"/>
        <w:spacing w:before="0" w:after="0" w:line="240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скрытый период (период мнимого благополучия);</w:t>
      </w:r>
    </w:p>
    <w:p>
      <w:pPr>
        <w:pStyle w:val="Style34"/>
        <w:keepNext w:val="0"/>
        <w:keepLines w:val="0"/>
        <w:widowControl w:val="0"/>
        <w:numPr>
          <w:ilvl w:val="0"/>
          <w:numId w:val="55"/>
        </w:numPr>
        <w:shd w:val="clear" w:color="auto" w:fill="auto"/>
        <w:tabs>
          <w:tab w:pos="542" w:val="left"/>
        </w:tabs>
        <w:bidi w:val="0"/>
        <w:spacing w:before="0" w:after="0" w:line="240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период разгара;</w:t>
      </w:r>
    </w:p>
    <w:p>
      <w:pPr>
        <w:pStyle w:val="Style34"/>
        <w:keepNext w:val="0"/>
        <w:keepLines w:val="0"/>
        <w:widowControl w:val="0"/>
        <w:numPr>
          <w:ilvl w:val="0"/>
          <w:numId w:val="55"/>
        </w:numPr>
        <w:shd w:val="clear" w:color="auto" w:fill="auto"/>
        <w:tabs>
          <w:tab w:pos="546" w:val="left"/>
        </w:tabs>
        <w:bidi w:val="0"/>
        <w:spacing w:before="0" w:after="0" w:line="240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период восстановления.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Основное клиническое проявление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начального периода ОЛБ —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синдром первичной реакции на облучение.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Он имеет достаточно четко очерченную картину, которая характеризуется комплек</w:t>
        <w:softHyphen/>
        <w:t>сом диспептических (анорексия, тошнота, рвота, диарея, диски</w:t>
        <w:softHyphen/>
        <w:t>незия кишечника), нейромоторных (быстрая утомляемость, апа</w:t>
        <w:softHyphen/>
        <w:t>тия, общая слабость) и нейрососудистых (потливость, гипертер</w:t>
        <w:softHyphen/>
        <w:t>мия, гипотензия, головокружение, головная боль) проявлений, а также местными реакциями кожи и слизистых оболочек (гипе</w:t>
        <w:softHyphen/>
        <w:t>ремия, зуд, жжение и т. д.). Однако весь перечисленный выше симптомокомплекс первичной реакции на облучение наблю</w:t>
        <w:softHyphen/>
        <w:t>дается только при облучении в дозах, близких к абсолютно смертельным (порядка 8—10 Гр). Наиболее низок дозовый порог (0,5—1 Гр) для возникновения анорексии, тошноты и рвоты. Слабость и повышенная утомляемость типичны при облучении в дозах 1—2 Гр, головная боль и диарея — при 4—6 Гр, головокру</w:t>
        <w:softHyphen/>
        <w:t>жение — при 6-8 Гр. Гипертермия появляется при облучении в дозах свыше 8-10 Гр. По мере возрастания дозы радиационного воздействия не только обогащается симптоматология первичной реакции на облучение, но и увеличивается выраженность и про</w:t>
        <w:softHyphen/>
        <w:t>должительность ее проявлений, отмечается более раннее их воз</w:t>
        <w:softHyphen/>
        <w:t>никновение (табл. 8).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объективном исследовании в этот период обычно обна</w:t>
        <w:softHyphen/>
        <w:t>руживаются гиперемия кожи, гипергидроз, лабильность вазомо</w:t>
        <w:softHyphen/>
        <w:t>торных реакций, тремор пальцев рук, тахикардия, при больших дозах — повышенная температура тела.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периферической крови в это время прогрессирует дозоза</w:t>
        <w:softHyphen/>
        <w:t>висимое снижение числа лимфоцитов, гибнущих интерфазно в течение нескольких часов после облучения. В течение первых суток отмечается также перераспределительный нейтрофильный лейкоцитоз (этот показатель неспецифичен для лучевого воздей</w:t>
        <w:softHyphen/>
        <w:t>ствия и количественно не связан с дозой).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24" w:right="835" w:bottom="816" w:left="127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Патогенез синдрома первичной реакции на облучение доста</w:t>
        <w:softHyphen/>
        <w:t>точно сложен. Установлено, в частности, что тошнота и рвота при облучении индуцируются раздражением хеморецепторной триггерной зоны рвотного центра биологически активными веще</w:t>
        <w:softHyphen/>
        <w:t>ствами, в избытке появляющимися в крови после радиационного</w:t>
      </w:r>
    </w:p>
    <w:p>
      <w:pPr>
        <w:pStyle w:val="Style71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right"/>
        <w:rPr>
          <w:sz w:val="15"/>
          <w:szCs w:val="15"/>
        </w:rPr>
      </w:pPr>
      <w:r>
        <w:rPr>
          <w:b w:val="0"/>
          <w:bCs w:val="0"/>
          <w:i/>
          <w:iCs/>
          <w:spacing w:val="0"/>
          <w:w w:val="100"/>
          <w:position w:val="0"/>
          <w:sz w:val="15"/>
          <w:szCs w:val="15"/>
          <w:shd w:val="clear" w:color="auto" w:fill="auto"/>
          <w:lang w:val="ru-RU" w:eastAsia="ru-RU" w:bidi="ru-RU"/>
        </w:rPr>
        <w:t>Таблица</w:t>
      </w:r>
      <w:r>
        <w:rPr>
          <w:b w:val="0"/>
          <w:bCs w:val="0"/>
          <w:spacing w:val="0"/>
          <w:w w:val="100"/>
          <w:position w:val="0"/>
          <w:sz w:val="15"/>
          <w:szCs w:val="15"/>
          <w:shd w:val="clear" w:color="auto" w:fill="auto"/>
          <w:lang w:val="ru-RU" w:eastAsia="ru-RU" w:bidi="ru-RU"/>
        </w:rPr>
        <w:t xml:space="preserve"> 8</w:t>
      </w:r>
    </w:p>
    <w:p>
      <w:pPr>
        <w:pStyle w:val="Style71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righ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Проявления первичной реакции при облучении в различных дозах</w:t>
      </w:r>
    </w:p>
    <w:tbl>
      <w:tblPr>
        <w:tblOverlap w:val="never"/>
        <w:jc w:val="center"/>
        <w:tblLayout w:type="fixed"/>
      </w:tblPr>
      <w:tblGrid>
        <w:gridCol w:w="1349"/>
        <w:gridCol w:w="1272"/>
        <w:gridCol w:w="1186"/>
        <w:gridCol w:w="1195"/>
        <w:gridCol w:w="1253"/>
      </w:tblGrid>
      <w:tr>
        <w:trPr>
          <w:trHeight w:val="269" w:hRule="exact"/>
        </w:trPr>
        <w:tc>
          <w:tcPr>
            <w:vMerge w:val="restart"/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Показатель</w:t>
            </w:r>
          </w:p>
        </w:tc>
        <w:tc>
          <w:tcPr>
            <w:gridSpan w:val="3"/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righ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Степень тяжести ОЛБ (доза, Гр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</w:tr>
      <w:tr>
        <w:trPr>
          <w:trHeight w:val="254" w:hRule="exact"/>
        </w:trPr>
        <w:tc>
          <w:tcPr>
            <w:vMerge/>
            <w:tcBorders/>
            <w:shd w:val="clear" w:color="auto" w:fill="auto"/>
            <w:vAlign w:val="center"/>
          </w:tcPr>
          <w:p>
            <w:pPr/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 (1-2 Гр)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II (2-4 Гр)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 xml:space="preserve">III </w:t>
            </w: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(4-6 Гр)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IV (&gt;6 Гр)</w:t>
            </w:r>
          </w:p>
        </w:tc>
      </w:tr>
      <w:tr>
        <w:trPr>
          <w:trHeight w:val="634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Рвота (начало и интенсивность)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4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Через 2 ч и более, однократная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2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Через 1-2 ч, повторная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2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Через 0,5-1 ч, многократная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Через 5-20 мин, неукротимая</w:t>
            </w:r>
          </w:p>
        </w:tc>
      </w:tr>
      <w:tr>
        <w:trPr>
          <w:trHeight w:val="442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Диарея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Как правило, нет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Как правило, нет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Как правило, нет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Может быть</w:t>
            </w:r>
          </w:p>
        </w:tc>
      </w:tr>
      <w:tr>
        <w:trPr>
          <w:trHeight w:val="1018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Состояние организма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Кратковремен</w:t>
              <w:softHyphen/>
              <w:t>ная головная боль, сознание ясное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Головная боль, сознание ясное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Головная боль, сознание ясное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Сильная головная боль, сознание может быть спутанным</w:t>
            </w:r>
          </w:p>
        </w:tc>
      </w:tr>
      <w:tr>
        <w:trPr>
          <w:trHeight w:val="446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Температура тела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Нормальная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Субфебриль</w:t>
              <w:softHyphen/>
              <w:t>ная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Субфебриль</w:t>
              <w:softHyphen/>
              <w:t>ная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38-39° С</w:t>
            </w:r>
          </w:p>
        </w:tc>
      </w:tr>
      <w:tr>
        <w:trPr>
          <w:trHeight w:val="826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Состояние кожи и видимых слизистых оболочек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Нормальное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4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Слабая преходящая гиперемия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4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Умеренная преходящая гиперемия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Выраженная гиперемия</w:t>
            </w:r>
          </w:p>
        </w:tc>
      </w:tr>
      <w:tr>
        <w:trPr>
          <w:trHeight w:val="634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4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Продолжитель</w:t>
              <w:softHyphen/>
              <w:t>ность первичной реакции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Отсутствует или длится несколько часов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До 1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До 2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2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Более 2-3 суток</w:t>
            </w:r>
          </w:p>
        </w:tc>
      </w:tr>
      <w:tr>
        <w:trPr>
          <w:trHeight w:val="475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Двигательная активность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Нормальная</w:t>
            </w:r>
          </w:p>
        </w:tc>
        <w:tc>
          <w:tcPr>
            <w:gridSpan w:val="2"/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Закономерных изменений не отмечается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16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Адинамия</w:t>
            </w:r>
          </w:p>
        </w:tc>
      </w:tr>
    </w:tbl>
    <w:p>
      <w:pPr>
        <w:widowControl w:val="0"/>
        <w:spacing w:after="179" w:line="1" w:lineRule="exact"/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4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воздействия (биогенные амины, регуляторные пептиды, про</w:t>
        <w:softHyphen/>
        <w:t>стагландины и другие эндогенные биорегуляторы)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footnoteReference w:id="6"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. Кроме того, рвотный центр возбуждается за счет патологической афферент</w:t>
        <w:softHyphen/>
        <w:t>ной импульсации с интероцепторов желудочно-кишечного трак</w:t>
        <w:softHyphen/>
        <w:t>та, возникающей, в свою очередь, вследствие гастростаза, обу</w:t>
        <w:softHyphen/>
        <w:t>словленного постлучевыми расстройствами периферической до</w:t>
        <w:softHyphen/>
        <w:t>фамин- и серотонинергической медиации.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00" w:line="228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00" w:right="470" w:bottom="816" w:left="167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Спазмы и боли в области живота, тенезмы и диарея связаны с усилением моторной и секреторной функции кишечника, а так</w:t>
        <w:softHyphen/>
        <w:t>же угнетением процессов реабсорбции жидкости из его просвета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в. кровь. Механизм этих нарушений также напрямую связан с расстройствами нейрогуморальной регуляции функций желу</w:t>
        <w:softHyphen/>
        <w:t>дочно-кишечного тракта — гиперпродукцией биогенных аминов (прежде всего, серотонина и гистамина), простагландинов и ки</w:t>
        <w:softHyphen/>
        <w:t>шечных пептидов (мотилин и др.).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Ранние нейромоторные и нейрососудистые эффекты облуче</w:t>
        <w:softHyphen/>
        <w:t>ния в значительной мере связаны с расстройствами центральной катехоламинергической регуляции корковых и подкорково-ство</w:t>
        <w:softHyphen/>
        <w:t>ловых функций ЦНС, нарушениями гемо- и ликворообращения в головном мозге, общей интоксикацией организма продуктами свободно-радикального окисления и распада радиочувствитель</w:t>
        <w:softHyphen/>
        <w:t>ных тканей.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Среди проявлений первичной реакции на облучение наи</w:t>
        <w:softHyphen/>
        <w:t xml:space="preserve">большее значение для снижения дееспособности людей имеет развитие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эметического синдрома,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включающего тошноту, позывы на рвоту и непосредственно рвотный акт. Развитие этого синд</w:t>
        <w:softHyphen/>
        <w:t>рома обусловлено активацией хеморецепторной триггерной зоны рвотного центра серотонином, воздействующим на 5НТз- рецепторы, дофамином (О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-рецепторы), гистамином (Hi-рецеп</w:t>
        <w:softHyphen/>
        <w:t xml:space="preserve">торы), субстанцией Р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(NKj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-рецепторы), эндорфинами, нейро</w:t>
        <w:softHyphen/>
        <w:t>пептидами и другими биологически активными веществами, образующимися в избыточном количестве после облучения. Ис</w:t>
        <w:softHyphen/>
        <w:t>ходя из патогенеза эметического синдрома, можно понять, что диспепсические проявления, возникающие в период первичной реакции на облучение, будут ослабляться фармакологическими агентами, блокирующими рецепторы соответствующих биоген</w:t>
        <w:softHyphen/>
        <w:t>ных аминов, нейрогормонов и пептидов.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  <w:sectPr>
          <w:footerReference w:type="default" r:id="rId120"/>
          <w:footerReference w:type="even" r:id="rId121"/>
          <w:footnotePr>
            <w:pos w:val="pageBottom"/>
            <w:numFmt w:val="chicago"/>
            <w:numRestart w:val="continuous"/>
            <w15:footnoteColumns w:val="1"/>
          </w:footnotePr>
          <w:pgSz w:w="7445" w:h="12326"/>
          <w:pgMar w:top="1349" w:right="288" w:bottom="799" w:left="85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изучении эффективности противорвотных препаратов было установлено, что м-холиноблокаторы и Н ]-антагонисты гистамина обладают незначительной эффективностью при пост</w:t>
        <w:softHyphen/>
        <w:t>лучевом эметическом синдроме и, кроме того, оказывают выра</w:t>
        <w:softHyphen/>
        <w:t>женное побочное действие. Долгое время основное место в арсе</w:t>
        <w:softHyphen/>
        <w:t>нале средств борьбы с постлучевой тошнотой и рвотой занимали нейролептики с преимущественным дофаминоблокирующим действием: производные фенотиазина (хлорпромазин, тиэтил- перазин, этаперазин и др.) и бутирофенона (дроперидол, галопе</w:t>
        <w:softHyphen/>
        <w:t>ридол), однако побочное общеугнетающее и экстрапирамидное действие существенно ограничивало возможности их практиче</w:t>
        <w:softHyphen/>
        <w:t>ского использования. Более хорошая переносимость, наряду с достаточно высокой антиэметической активностью, характерна для Вг-дофаминоблокаторов: производных бензимидазола (дом-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перидон) и бензамида (метоклопрамид, диметпрамид, ализаприд и др.). В последние годы основное место в арсенале средств борьбы с постлучевой тошнотой и рвотой занимают антагонисты серотониновых рецепторов (5НТз-рецепторов): ондансетрон, гра- нисетрон, доласетрон, трописетрон и др.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Латран (ондансетрона гидрохлорид дигидрат, зофран) —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про- тиворвотный препарат из группы селективных блокаторов 5НТз- рецепторов центральной и периферической нервной системы, в том числе и в нейронных центрах, регулирующих рвотные реф</w:t>
        <w:softHyphen/>
        <w:t>лексы. Кроме противорвотного действия латран обладает анкси</w:t>
        <w:softHyphen/>
        <w:t>олитической активностью, не вызывает седативного эффекта, нарушений координации движений или снижения работоспо</w:t>
        <w:softHyphen/>
        <w:t>собности.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купирования развившейся рвоты латран применяют внут</w:t>
        <w:softHyphen/>
        <w:t>ривенно или внутримышечно в виде 0,2% раствора однократно в дозе 8—16 мг (1-2 мл). Профилактику радиационно-индуциро</w:t>
        <w:softHyphen/>
        <w:t>ванной эметической реакции можно проводить с помощью таб</w:t>
        <w:softHyphen/>
        <w:t>летированной формы препарата: латран принимают перорально в разовой дозе 8 мг (2 таблетки) за 1 ч до или сразу после лучево</w:t>
        <w:softHyphen/>
        <w:t>го воздействия. Противорвотный эффект препарата сохраняется до 1 суток.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Трописетрон (навобан)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также является селективным антаго</w:t>
        <w:softHyphen/>
        <w:t>нистом серотониновых рецепторов. Препарат избирательно бло</w:t>
        <w:softHyphen/>
        <w:t>кирует связанное с рвотным рефлексом возбуждение пресинап- тических 5НТз-рецепторов на периферических нейронах, а также обладает прямым действием на рецепторы ЦНС, опосредующие эффекты блуждающего нерва на рвотный центр.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купирования тошноты и рвоты, развивающейся после облучения, трописетрон применяют в первый день — однократ</w:t>
        <w:softHyphen/>
        <w:t>но внутривенно в дозе 5 мг капельно, а в последующие дни — ежедневно однократно внутрь в дозе 5 мг (1 таблетка). Продол</w:t>
        <w:softHyphen/>
        <w:t>жительность противорвотного действия до 1 суток.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Метоклопрамид (церукал, реглан) —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противорвотный препарат из группы метоксибензамида, способный специфически блоки</w:t>
        <w:softHyphen/>
        <w:t>ровать Ог-дофаминовые рецепторы триггерной зоны рвотного центра. Наряду с выраженным противорвотным действием, ока</w:t>
        <w:softHyphen/>
        <w:t>зывает регулирующее и стимулирующее влияние на двигатель</w:t>
        <w:softHyphen/>
        <w:t>ную активность желудочно-кишечного тракта.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034" w:right="464" w:bottom="712" w:left="167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профилактики рвоты метоклопрамид принимают пер</w:t>
        <w:softHyphen/>
        <w:t>орально по 1 таблетке (10 мг) 3 раза в день. При отсутствии эф</w:t>
        <w:softHyphen/>
        <w:t>фекта, а также для купирования уже развившейся рвоты пре-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4718050" cy="267970"/>
            <wp:docPr id="179" name="Picutre 17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" name="Picture 179"/>
                    <pic:cNvPicPr/>
                  </pic:nvPicPr>
                  <pic:blipFill>
                    <a:blip r:embed="rId122"/>
                    <a:stretch/>
                  </pic:blipFill>
                  <pic:spPr>
                    <a:xfrm>
                      <a:ext cx="4718050" cy="26797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779" w:line="1" w:lineRule="exact"/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парат вводят внутримышечно или внутривенно медленно (в те</w:t>
        <w:softHyphen/>
        <w:t>чение 5 мин) по 2 мл (10 мг) 3 раза в день через каждые 2 ч. Про- тиворвотный эффект продолжается до 12 ч.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Домперидон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относится к производным бензимидазола, оказы</w:t>
        <w:softHyphen/>
        <w:t>вающим блокирующее действие на Бг-дофаминовые рецепторы. Для профилактики рвоты препарат принимают внутрь в дозе 10 мг (1 таблетка) 3 раза в сутки.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Этаперазин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относится к нейролептикам из ряда фенотиа</w:t>
        <w:softHyphen/>
        <w:t>зина, содержащим пиперазиновое ядро. Механизм противо- рвотного действия связан с угнетением дофаминовых рецеп</w:t>
        <w:softHyphen/>
        <w:t>торов нейронов триггерной зоны рвотного центра. Как и дру</w:t>
        <w:softHyphen/>
        <w:t>гие нейролептики, этаперазин обладает антипсихотическим действием и может вызывать экстрапирамидные синдромы (лекарственный паркинсонизм, ригидность, гипокинезия). Об</w:t>
        <w:softHyphen/>
        <w:t>ладая дофамино-, адрено- и серотониноблокирующим дейст</w:t>
        <w:softHyphen/>
        <w:t>вием, препарат препятствует передаче нервных импульсов из лобных долей мозга на нижележащие сопряженные структуры, что проявляется снижением физической и умственной работо</w:t>
        <w:softHyphen/>
        <w:t>способности.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профилактики рвоты этаперазин принимают внутрь в дозе 4-8 мг (по 1-2 таблетки) 1-2 раза в сутки. При развившей</w:t>
        <w:softHyphen/>
        <w:t>ся рвоте этаперазин в дозе 1 мл можно вводить внутримышечно или внутривенно, однако при этом проявляется выраженное се</w:t>
        <w:softHyphen/>
        <w:t>дативное действие препарата.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Аминазин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также является нейролептиком из ряда фенотиази</w:t>
        <w:softHyphen/>
        <w:t>на. Противорвотное действие препарата связано с блокирующим влиянием на центральные дофаминергические рецепторы. Ами</w:t>
        <w:softHyphen/>
        <w:t>назин обладает выраженным антипсихотическим и седативным действием, а по противорвотному эффекту значительно уступает этаперазину. Для купирования рвоты аминазин применяют в виде 2,5% раствора в дозе 1 мл внутримышечно.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Помимо вышеперечисленных средств, для купирования рво</w:t>
        <w:softHyphen/>
        <w:t>ты могут быть использованы нейролептики из класса бутирофе</w:t>
        <w:softHyphen/>
        <w:t xml:space="preserve">нонов —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галоперидол, дроперидол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др. Существенной является лекарственная форма применяемых препаратов — они должны вводиться парентерально.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72" w:right="751" w:bottom="376" w:left="135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 концу начального периода находящиеся в тканях и цирку</w:t>
        <w:softHyphen/>
        <w:t>лирующие в крови токсичные продукты в значительной мере разрушаются или выводятся, уровень патологической импульса- ции в нервную систему снижается, высокие компенсаторные возможности нервной системы обеспечивают восстановление ее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функций, и тем самым устраняются причины проявления симп</w:t>
        <w:softHyphen/>
        <w:t>томов первичной реакции на облучение. Изменения же в кост</w:t>
        <w:softHyphen/>
        <w:t>ном мозге к этому времени не достигают еще крайней степени выраженности и скомпенсированы за счет сохранившихся ре</w:t>
        <w:softHyphen/>
        <w:t>зервов*. Поэтому клинических проявлений, связанных с по</w:t>
        <w:softHyphen/>
        <w:t xml:space="preserve">вреждением гемопоэза, еще нет, и в развитии лучевой болезни наступает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>скрытый период.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Жалобы на состояние здоровья в скрытом периоде отсутству</w:t>
        <w:softHyphen/>
        <w:t>ют или слабо выражены. Могут отмечаться симптомы астениза- ции и вегетососудистой неустойчивости (повышенная утомляе</w:t>
        <w:softHyphen/>
        <w:t>мость, потливость, периодическая головная боль, расстройства сна и т. д.). Продолжается постепенное опустошение костного мозга, начиная со снижения числа наименее зрелых клеток и за</w:t>
        <w:softHyphen/>
        <w:t>вершаясь исчезновением клеток, уже закончивших процесс со</w:t>
        <w:softHyphen/>
        <w:t>зревания. Вследствие этого происходит и уменьшение количест</w:t>
        <w:softHyphen/>
        <w:t>ва функционально зрелых клеток в периферической крови: про</w:t>
        <w:softHyphen/>
        <w:t>грессирует нейтропения, снижается количество тромбоцитов, развиваются морфологические изменения в нейтрофилах и лим</w:t>
        <w:softHyphen/>
        <w:t>фоцитах.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Выраженность и характер гематологических сдвигов, а также продолжительность скрытого периода зависят от степени тяже</w:t>
        <w:softHyphen/>
        <w:t>сти лучевого поражения: чем выше доза облучения, тем он коро</w:t>
        <w:softHyphen/>
        <w:t>че. При легкой форме ОЛБ скрытый период может закончиться лишь через 30 и более суток после облучения, при средней — че</w:t>
        <w:softHyphen/>
        <w:t xml:space="preserve">рез 15-30, при тяжелой </w:t>
      </w:r>
      <w:r>
        <w:rPr>
          <w:color w:val="8A8A8A"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через 5-20 суток. При крайне тяже</w:t>
        <w:softHyphen/>
        <w:t>лых формах ОЛБ начальный период может непосредственно пе</w:t>
        <w:softHyphen/>
        <w:t>рейти в период разгара заболевания (скрытый период может от</w:t>
        <w:softHyphen/>
        <w:t>сутствовать).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  <w:sectPr>
          <w:footerReference w:type="default" r:id="rId124"/>
          <w:footerReference w:type="even" r:id="rId125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090" w:right="434" w:bottom="832" w:left="1698" w:header="662" w:footer="404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Клинически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период разгара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характеризуется прежде всего развитием инфекционного и геморрагического синдромов, обу</w:t>
        <w:softHyphen/>
        <w:t>словленных главным образом гранулоцитопенией и тромбоци</w:t>
        <w:softHyphen/>
        <w:t>топенией. Наступление этого периода совпадает, как правило, со снижением числа клеток в периферической крови ниже кри</w:t>
        <w:softHyphen/>
        <w:t>тического значения: менее 1,0хЮ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9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/л для нейтрофилов и ниже 30х10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9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/л — для тромбоцитов (рис. 14—16). Продолжительность инфекционных и геморрагических проявлений приблизительно соответствует времени, в течение которого в периферической крови регистрируются субкритические значения содержания лейкоцитов и тромбоцитов.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2901950" cy="262255"/>
            <wp:docPr id="180" name="Picutre 18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Picture 180"/>
                    <pic:cNvPicPr/>
                  </pic:nvPicPr>
                  <pic:blipFill>
                    <a:blip r:embed="rId126"/>
                    <a:stretch/>
                  </pic:blipFill>
                  <pic:spPr>
                    <a:xfrm>
                      <a:ext cx="2901950" cy="26225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759" w:line="1" w:lineRule="exact"/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Инфекционный синдром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ОЛБ начинается с резкого ухудшения самочувствия: появляется выраженная общая слабость, голово</w:t>
        <w:softHyphen/>
        <w:t>кружения, головная боль. Повышается температура тела, появ</w:t>
        <w:softHyphen/>
        <w:t>ляются ознобы и проливные поты, учащается пульс, нарушают</w:t>
        <w:softHyphen/>
        <w:t>ся сон и аппетит. К наиболее частым формам инфекционных осложнений ОЛБ относятся: язвенно-некротический тонзиллит, бронхит, очаговая пневмония, язвенно-некротические пораже</w:t>
        <w:softHyphen/>
        <w:t>ния кожи и слизистых оболочек, в том числе ротоносоглотки (орофарингеальный синдром).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Ведущая роль в патогенезе синдрома инфекционных ослож</w:t>
        <w:softHyphen/>
        <w:t>нений принадлежит пострадиационному угнетению иммуните</w:t>
        <w:softHyphen/>
        <w:t>та, связанному с ранней гибелью высокорадиочувствительных лимфоцитов, нарушением функций макрофагов и, главное, с развитием гранулоцитопении*.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Источником инфекционных осложнений при лучевых пора</w:t>
        <w:softHyphen/>
        <w:t>жениях чаще всего является собственная микрофлора, вегетиру</w:t>
        <w:softHyphen/>
        <w:t>ющая в просвете желудочно-кишечного тракта, в дыхательных путях, на коже и слизистых оболочках: стафилококки, кишечная палочка, реже — протей, синегнойная палочка и др. Серьезную опасность представляет внутригоспитальная инфекция, как пра</w:t>
        <w:softHyphen/>
        <w:t>вило, чрезвычайно устойчивая к антибиотикам. В тяжелых слу</w:t>
        <w:softHyphen/>
        <w:t>чаях заражение бактериями может осложниться вирусной и грибковой инфекцией.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 w:line="269" w:lineRule="auto"/>
        <w:ind w:left="0" w:right="0" w:firstLine="48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Причина этого заключается в том, что облучение вызывает гибель лишь спо</w:t>
        <w:softHyphen/>
        <w:t>собных к делению клеток кроветворной системы. Сами же форменные элементы крови, как и их непосредственные предшественники, составляющие пул созреваю</w:t>
        <w:softHyphen/>
        <w:t>щих клеток, радиорезистентны (исключение составляют лишь лимфоциты). Поэто</w:t>
        <w:softHyphen/>
        <w:t>му, несмотря на облучение, созревающие клетки завершают программу дифферен</w:t>
        <w:softHyphen/>
        <w:t>цировки, на что, как и в норме, требуется 5-7 суток. В течение этого времени физиологическая убыль форменных элементов компенсируется притоком созрев</w:t>
        <w:softHyphen/>
        <w:t>ших клеток из костного мозга, благодаря чему уровень нейтрофилов и тромбоцитов в периферической крови не снижается. После этого периода уровень большинства форменных элементов в крови начинает снижаться, но клинические проявления по</w:t>
        <w:softHyphen/>
        <w:t>являются лишь после того, как содержание клеток опускается до критически низкого уровня, составляющего для нейтрофилов 15-20%, а для тромбоцитов —10-15% от исходного. Время, требуемое для достижения этого критического уровня, и опреде</w:t>
        <w:softHyphen/>
        <w:t>ляет продолжительность скрытого периода.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 w:line="269" w:lineRule="auto"/>
        <w:ind w:left="0" w:right="0" w:firstLine="340"/>
        <w:jc w:val="both"/>
        <w:sectPr>
          <w:footerReference w:type="default" r:id="rId128"/>
          <w:footerReference w:type="even" r:id="rId129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79" w:right="816" w:bottom="364" w:left="128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‘ В облученном организме, несмотря на подавление практически всех звеньев специфического иммунитета, сохраняется способность предотвратить генерализа</w:t>
        <w:softHyphen/>
        <w:t>цию инфекционного процесса, пока содержание гранулоцитов в крови держится на уровне не менее 0,8—1,0х 10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9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/л. Более глубокое падение, как правило, совпадает с началом бурного развития инфекционного процесса. Возвращение к этому уровню в результате регенерации кроветворения — необходимое условие обратного разви</w:t>
        <w:softHyphen/>
        <w:t>тия проявлений вторичной инфекции.</w:t>
      </w:r>
    </w:p>
    <w:p>
      <w:pPr>
        <w:pStyle w:val="Style48"/>
        <w:keepNext w:val="0"/>
        <w:keepLines w:val="0"/>
        <w:framePr w:w="3830" w:h="418" w:wrap="none" w:hAnchor="page" w:x="3380" w:y="5257"/>
        <w:widowControl w:val="0"/>
        <w:shd w:val="clear" w:color="auto" w:fill="auto"/>
        <w:tabs>
          <w:tab w:leader="hyphen" w:pos="778" w:val="left"/>
          <w:tab w:pos="3288" w:val="left"/>
        </w:tabs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ab/>
        <w:t xml:space="preserve"> &gt;6 Гр</w:t>
        <w:tab/>
        <w:t>1-2 Гр</w:t>
      </w:r>
    </w:p>
    <w:p>
      <w:pPr>
        <w:pStyle w:val="Style48"/>
        <w:keepNext w:val="0"/>
        <w:keepLines w:val="0"/>
        <w:framePr w:w="3830" w:h="418" w:wrap="none" w:hAnchor="page" w:x="3380" w:y="5257"/>
        <w:widowControl w:val="0"/>
        <w:shd w:val="clear" w:color="auto" w:fill="auto"/>
        <w:tabs>
          <w:tab w:pos="2410" w:val="left"/>
          <w:tab w:leader="dot" w:pos="3149" w:val="left"/>
          <w:tab w:leader="dot" w:pos="3197" w:val="left"/>
        </w:tabs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— — — 2-6 Гр</w:t>
        <w:tab/>
        <w:tab/>
        <w:tab/>
        <w:t xml:space="preserve"> &lt;1 Гр</w:t>
      </w:r>
    </w:p>
    <w:p>
      <w:pPr>
        <w:pStyle w:val="Style48"/>
        <w:keepNext w:val="0"/>
        <w:keepLines w:val="0"/>
        <w:framePr w:w="4997" w:h="422" w:wrap="none" w:hAnchor="page" w:x="2564" w:y="5789"/>
        <w:widowControl w:val="0"/>
        <w:shd w:val="clear" w:color="auto" w:fill="auto"/>
        <w:bidi w:val="0"/>
        <w:spacing w:before="0" w:after="0" w:line="266" w:lineRule="auto"/>
        <w:ind w:left="0" w:right="0" w:firstLine="0"/>
        <w:jc w:val="center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Рис. 14.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Динамика числа нейтрофилов периферической крови после облучения в разных дозах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(по Н. Вальду, 1974)</w:t>
      </w:r>
    </w:p>
    <w:p>
      <w:pPr>
        <w:pStyle w:val="Style48"/>
        <w:keepNext w:val="0"/>
        <w:keepLines w:val="0"/>
        <w:framePr w:w="4930" w:h="418" w:wrap="none" w:hAnchor="page" w:x="2593" w:y="10581"/>
        <w:widowControl w:val="0"/>
        <w:shd w:val="clear" w:color="auto" w:fill="auto"/>
        <w:bidi w:val="0"/>
        <w:spacing w:before="0" w:after="0" w:line="266" w:lineRule="auto"/>
        <w:ind w:left="0" w:right="0" w:firstLine="0"/>
        <w:jc w:val="center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Рис. 15.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Динамика числа лимфоцитов периферической крови после облучения в разных дозах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(по Н. Вальду, 1974)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4832" behindDoc="1" locked="0" layoutInCell="1" allowOverlap="1">
            <wp:simplePos x="0" y="0"/>
            <wp:positionH relativeFrom="page">
              <wp:posOffset>6350</wp:posOffset>
            </wp:positionH>
            <wp:positionV relativeFrom="margin">
              <wp:posOffset>0</wp:posOffset>
            </wp:positionV>
            <wp:extent cx="731520" cy="7662545"/>
            <wp:wrapNone/>
            <wp:docPr id="185" name="Shape 18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Picture box 186"/>
                    <pic:cNvPicPr/>
                  </pic:nvPicPr>
                  <pic:blipFill>
                    <a:blip r:embed="rId130"/>
                    <a:stretch/>
                  </pic:blipFill>
                  <pic:spPr>
                    <a:xfrm>
                      <a:ext cx="731520" cy="766254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646430" distL="0" distR="0" simplePos="0" relativeHeight="62914833" behindDoc="1" locked="0" layoutInCell="1" allowOverlap="1">
            <wp:simplePos x="0" y="0"/>
            <wp:positionH relativeFrom="page">
              <wp:posOffset>1322705</wp:posOffset>
            </wp:positionH>
            <wp:positionV relativeFrom="margin">
              <wp:posOffset>679450</wp:posOffset>
            </wp:positionV>
            <wp:extent cx="3797935" cy="2621280"/>
            <wp:wrapNone/>
            <wp:docPr id="187" name="Shape 18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Picture box 188"/>
                    <pic:cNvPicPr/>
                  </pic:nvPicPr>
                  <pic:blipFill>
                    <a:blip r:embed="rId132"/>
                    <a:stretch/>
                  </pic:blipFill>
                  <pic:spPr>
                    <a:xfrm>
                      <a:ext cx="3797935" cy="262128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347345" distL="0" distR="0" simplePos="0" relativeHeight="62914834" behindDoc="1" locked="0" layoutInCell="1" allowOverlap="1">
            <wp:simplePos x="0" y="0"/>
            <wp:positionH relativeFrom="page">
              <wp:posOffset>1319530</wp:posOffset>
            </wp:positionH>
            <wp:positionV relativeFrom="margin">
              <wp:posOffset>4060190</wp:posOffset>
            </wp:positionV>
            <wp:extent cx="3791585" cy="2578735"/>
            <wp:wrapNone/>
            <wp:docPr id="189" name="Shape 18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Picture box 190"/>
                    <pic:cNvPicPr/>
                  </pic:nvPicPr>
                  <pic:blipFill>
                    <a:blip r:embed="rId134"/>
                    <a:stretch/>
                  </pic:blipFill>
                  <pic:spPr>
                    <a:xfrm>
                      <a:ext cx="3791585" cy="257873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593" w:line="1" w:lineRule="exact"/>
      </w:pPr>
    </w:p>
    <w:p>
      <w:pPr>
        <w:widowControl w:val="0"/>
        <w:spacing w:line="1" w:lineRule="exact"/>
        <w:sectPr>
          <w:footerReference w:type="default" r:id="rId136"/>
          <w:footerReference w:type="even" r:id="rId137"/>
          <w:footnotePr>
            <w:pos w:val="pageBottom"/>
            <w:numFmt w:val="chicago"/>
            <w:numRestart w:val="continuous"/>
            <w15:footnoteColumns w:val="1"/>
          </w:footnotePr>
          <w:pgSz w:w="8534" w:h="12394"/>
          <w:pgMar w:top="312" w:right="476" w:bottom="687" w:left="10" w:header="0" w:footer="3" w:gutter="0"/>
          <w:cols w:space="720"/>
          <w:noEndnote/>
          <w:rtlGutter w:val="0"/>
          <w:docGrid w:linePitch="360"/>
        </w:sectPr>
      </w:pPr>
    </w:p>
    <w:p>
      <w:pPr>
        <w:framePr w:w="7536" w:h="4930" w:vSpace="1008" w:wrap="notBeside" w:vAnchor="text" w:hAnchor="text" w:x="-1252" w:y="1"/>
        <w:widowControl w:val="0"/>
        <w:rPr>
          <w:sz w:val="2"/>
          <w:szCs w:val="2"/>
        </w:rPr>
      </w:pPr>
      <w:r>
        <w:drawing>
          <wp:inline>
            <wp:extent cx="4785360" cy="3133090"/>
            <wp:docPr id="195" name="Picutre 19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" name="Picture 195"/>
                    <pic:cNvPicPr/>
                  </pic:nvPicPr>
                  <pic:blipFill>
                    <a:blip r:embed="rId138"/>
                    <a:stretch/>
                  </pic:blipFill>
                  <pic:spPr>
                    <a:xfrm>
                      <a:ext cx="4785360" cy="31330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</w:pPr>
      <w:r>
        <mc:AlternateContent>
          <mc:Choice Requires="wps">
            <w:drawing>
              <wp:anchor distT="0" distB="0" distL="0" distR="4486910" simplePos="0" relativeHeight="125829393" behindDoc="0" locked="0" layoutInCell="1" allowOverlap="1">
                <wp:simplePos x="0" y="0"/>
                <wp:positionH relativeFrom="column">
                  <wp:posOffset>1334770</wp:posOffset>
                </wp:positionH>
                <wp:positionV relativeFrom="paragraph">
                  <wp:posOffset>3169920</wp:posOffset>
                </wp:positionV>
                <wp:extent cx="298450" cy="125095"/>
                <wp:wrapTopAndBottom/>
                <wp:docPr id="196" name="Shape 196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98450" cy="12509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&gt;6 Гр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222" type="#_x0000_t202" style="position:absolute;margin-left:105.10000000000001pt;margin-top:249.59999999999999pt;width:23.5pt;height:9.8499999999999996pt;z-index:-125829360;mso-wrap-distance-left:0;mso-wrap-distance-right:353.30000000000001pt" filled="f" stroked="f">
                <v:textbox inset="0,0,0,0">
                  <w:txbxContent>
                    <w:p>
                      <w:pPr>
                        <w:pStyle w:val="Style4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&gt;6 Гр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4471670" simplePos="0" relativeHeight="125829395" behindDoc="0" locked="0" layoutInCell="1" allowOverlap="1">
                <wp:simplePos x="0" y="0"/>
                <wp:positionH relativeFrom="column">
                  <wp:posOffset>2886075</wp:posOffset>
                </wp:positionH>
                <wp:positionV relativeFrom="paragraph">
                  <wp:posOffset>3169920</wp:posOffset>
                </wp:positionV>
                <wp:extent cx="313690" cy="125095"/>
                <wp:wrapTopAndBottom/>
                <wp:docPr id="198" name="Shape 198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313690" cy="12509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1-2 Гр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224" type="#_x0000_t202" style="position:absolute;margin-left:227.25pt;margin-top:249.59999999999999pt;width:24.699999999999999pt;height:9.8499999999999996pt;z-index:-125829358;mso-wrap-distance-left:0;mso-wrap-distance-right:352.10000000000002pt" filled="f" stroked="f">
                <v:textbox inset="0,0,0,0">
                  <w:txbxContent>
                    <w:p>
                      <w:pPr>
                        <w:pStyle w:val="Style4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1-2 Гр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4458970" simplePos="0" relativeHeight="125829397" behindDoc="0" locked="0" layoutInCell="1" allowOverlap="1">
                <wp:simplePos x="0" y="0"/>
                <wp:positionH relativeFrom="column">
                  <wp:posOffset>1331595</wp:posOffset>
                </wp:positionH>
                <wp:positionV relativeFrom="paragraph">
                  <wp:posOffset>3298190</wp:posOffset>
                </wp:positionV>
                <wp:extent cx="326390" cy="130810"/>
                <wp:wrapTopAndBottom/>
                <wp:docPr id="200" name="Shape 200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326390" cy="13081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2-6 Гр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226" type="#_x0000_t202" style="position:absolute;margin-left:104.85000000000001pt;margin-top:259.69999999999999pt;width:25.699999999999999pt;height:10.300000000000001pt;z-index:-125829356;mso-wrap-distance-left:0;mso-wrap-distance-right:351.10000000000002pt" filled="f" stroked="f">
                <v:textbox inset="0,0,0,0">
                  <w:txbxContent>
                    <w:p>
                      <w:pPr>
                        <w:pStyle w:val="Style4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2-6 Гр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4456430" simplePos="0" relativeHeight="125829399" behindDoc="0" locked="0" layoutInCell="1" allowOverlap="1">
                <wp:simplePos x="0" y="0"/>
                <wp:positionH relativeFrom="column">
                  <wp:posOffset>2846705</wp:posOffset>
                </wp:positionH>
                <wp:positionV relativeFrom="paragraph">
                  <wp:posOffset>3298190</wp:posOffset>
                </wp:positionV>
                <wp:extent cx="328930" cy="130810"/>
                <wp:wrapTopAndBottom/>
                <wp:docPr id="202" name="Shape 202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328930" cy="13081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righ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&lt; 1 Гр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228" type="#_x0000_t202" style="position:absolute;margin-left:224.15000000000001pt;margin-top:259.69999999999999pt;width:25.900000000000002pt;height:10.300000000000001pt;z-index:-125829354;mso-wrap-distance-left:0;mso-wrap-distance-right:350.90000000000003pt" filled="f" stroked="f">
                <v:textbox inset="0,0,0,0">
                  <w:txbxContent>
                    <w:p>
                      <w:pPr>
                        <w:pStyle w:val="Style4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&lt; 1 Гр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1627505" simplePos="0" relativeHeight="125829401" behindDoc="0" locked="0" layoutInCell="1" allowOverlap="1">
                <wp:simplePos x="0" y="0"/>
                <wp:positionH relativeFrom="column">
                  <wp:posOffset>259080</wp:posOffset>
                </wp:positionH>
                <wp:positionV relativeFrom="paragraph">
                  <wp:posOffset>3508375</wp:posOffset>
                </wp:positionV>
                <wp:extent cx="3157855" cy="262255"/>
                <wp:wrapTopAndBottom/>
                <wp:docPr id="204" name="Shape 204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3157855" cy="26225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6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i/>
                                <w:iCs/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Рис. 16.</w:t>
                            </w:r>
                            <w:r>
                              <w:rPr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 xml:space="preserve"> Динамика числа тромбоцитов периферической крови после облучения в разных дозах 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(по Н. Вальду, 1974)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230" type="#_x0000_t202" style="position:absolute;margin-left:20.400000000000002pt;margin-top:276.25pt;width:248.65000000000001pt;height:20.650000000000002pt;z-index:-125829352;mso-wrap-distance-left:0;mso-wrap-distance-right:128.15000000000001pt" filled="f" stroked="f">
                <v:textbox inset="0,0,0,0">
                  <w:txbxContent>
                    <w:p>
                      <w:pPr>
                        <w:pStyle w:val="Style4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66" w:lineRule="auto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Рис. 16.</w:t>
                      </w:r>
                      <w:r>
                        <w:rPr>
                          <w:b/>
                          <w:bCs/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 xml:space="preserve"> Динамика числа тромбоцитов периферической крови после облучения в разных дозах </w:t>
                      </w: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(по Н. Вальду, 1974)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профилактики экзогенного инфицирования использу</w:t>
        <w:softHyphen/>
        <w:t>ются изоляторы различных типов; кожу и волосы больных еже</w:t>
        <w:softHyphen/>
        <w:t>дневно обрабатывают антисептиками, производят полоскание рта и носоглотки дезинфицирующими растворами. При входе в палату медицинский персонал надевает стерильную одежду, ме</w:t>
        <w:softHyphen/>
        <w:t>дицинский инструментарий не выносится из палаты и стерили</w:t>
        <w:softHyphen/>
        <w:t>зуется после каждого употребления.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320"/>
        <w:jc w:val="both"/>
        <w:sectPr>
          <w:footerReference w:type="default" r:id="rId140"/>
          <w:footerReference w:type="even" r:id="rId141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7" w:right="672" w:bottom="371" w:left="1445" w:header="0" w:footer="3" w:gutter="0"/>
          <w:pgNumType w:start="3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Основным компонентом профилактики эндогенной инфек</w:t>
        <w:softHyphen/>
        <w:t>ции является подавление кишечной микрофлоры невсасываю- щимися антибиотиками. Для тотальной деконтаминации (стери</w:t>
        <w:softHyphen/>
        <w:t xml:space="preserve">лизации) желудочно-кишечного тракта используются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ристами- цин, канамицин, полимиксин, гентамицин, нистатин, таривид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различных комбинациях. Селективная деконтаминация желу</w:t>
        <w:softHyphen/>
        <w:t>дочно-кишечного тракта, направленная на преимущественное подавление грамотрицательной патогенной микрофлоры, за</w:t>
        <w:softHyphen/>
        <w:t>ключается в профилактическом (за 5—7 суток до прогнозируемо</w:t>
        <w:softHyphen/>
        <w:t xml:space="preserve">го развития агранулоцитоза) назначении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налидиксовой кислоты (невиграмона)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триметоприма (бисептола-480).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Для элимина</w:t>
        <w:softHyphen/>
        <w:t xml:space="preserve">ции дрожжей и грибов используют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амфотерицин В, нистатин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или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дифлюкан.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Лечение инфекционных осложнений ОЛБ с помощью анти</w:t>
        <w:softHyphen/>
        <w:t>биотиков широкого спектра действия начинают либо за несколь</w:t>
        <w:softHyphen/>
        <w:t>ко дней до прогнозируемого развития агранулоцитоза (так назы</w:t>
        <w:softHyphen/>
        <w:t>ваемая превентивная терапия), либо при появлении первых кли</w:t>
        <w:softHyphen/>
        <w:t>нических признаков инфекции. С этой целью при повышении температуры тела более 38° С используют так называемые эмпи</w:t>
        <w:softHyphen/>
        <w:t>рические схемы (без выделения и определения чувствительности возбудителя) антибиотикотерапии, включающие наиболее ак</w:t>
        <w:softHyphen/>
        <w:t>тивные препараты широкого спектра действия в больших или максимально переносимых дозах:</w:t>
      </w:r>
    </w:p>
    <w:p>
      <w:pPr>
        <w:pStyle w:val="Style34"/>
        <w:keepNext w:val="0"/>
        <w:keepLines w:val="0"/>
        <w:widowControl w:val="0"/>
        <w:numPr>
          <w:ilvl w:val="0"/>
          <w:numId w:val="57"/>
        </w:numPr>
        <w:shd w:val="clear" w:color="auto" w:fill="auto"/>
        <w:tabs>
          <w:tab w:pos="546" w:val="left"/>
        </w:tabs>
        <w:bidi w:val="0"/>
        <w:spacing w:before="0" w:after="0" w:line="226" w:lineRule="auto"/>
        <w:ind w:left="48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сначала в лечении используют аминогликозиды и цефалос</w:t>
        <w:softHyphen/>
        <w:t xml:space="preserve">порины III поколения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(цефтазидим, цефотан, клафоран, це- физокс)',</w:t>
      </w:r>
    </w:p>
    <w:p>
      <w:pPr>
        <w:pStyle w:val="Style34"/>
        <w:keepNext w:val="0"/>
        <w:keepLines w:val="0"/>
        <w:widowControl w:val="0"/>
        <w:numPr>
          <w:ilvl w:val="0"/>
          <w:numId w:val="57"/>
        </w:numPr>
        <w:shd w:val="clear" w:color="auto" w:fill="auto"/>
        <w:tabs>
          <w:tab w:pos="546" w:val="left"/>
        </w:tabs>
        <w:bidi w:val="0"/>
        <w:spacing w:before="0" w:after="0" w:line="228" w:lineRule="auto"/>
        <w:ind w:left="48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отсутствии положительного клинического эффекта в течение 24-36 ч (температура тела не снижается, появля</w:t>
        <w:softHyphen/>
        <w:t xml:space="preserve">ются озноб, новые инфекционные очаги и т. д.) добавляют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имипенем (пшеном)',</w:t>
      </w:r>
    </w:p>
    <w:p>
      <w:pPr>
        <w:pStyle w:val="Style34"/>
        <w:keepNext w:val="0"/>
        <w:keepLines w:val="0"/>
        <w:widowControl w:val="0"/>
        <w:numPr>
          <w:ilvl w:val="0"/>
          <w:numId w:val="57"/>
        </w:numPr>
        <w:shd w:val="clear" w:color="auto" w:fill="auto"/>
        <w:tabs>
          <w:tab w:pos="546" w:val="left"/>
        </w:tabs>
        <w:bidi w:val="0"/>
        <w:spacing w:before="0" w:after="0" w:line="228" w:lineRule="auto"/>
        <w:ind w:left="48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если положительный эффект вновь отсутствует, добавляют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меропенем,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а при подозрении на инфицирование стафило</w:t>
        <w:softHyphen/>
        <w:t xml:space="preserve">кокками —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ванкомицин',</w:t>
      </w:r>
    </w:p>
    <w:p>
      <w:pPr>
        <w:pStyle w:val="Style34"/>
        <w:keepNext w:val="0"/>
        <w:keepLines w:val="0"/>
        <w:widowControl w:val="0"/>
        <w:numPr>
          <w:ilvl w:val="0"/>
          <w:numId w:val="57"/>
        </w:numPr>
        <w:shd w:val="clear" w:color="auto" w:fill="auto"/>
        <w:tabs>
          <w:tab w:pos="546" w:val="left"/>
        </w:tabs>
        <w:bidi w:val="0"/>
        <w:spacing w:before="0" w:after="0" w:line="228" w:lineRule="auto"/>
        <w:ind w:left="48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если лихорадка продолжается или усугубляется, вместо це</w:t>
        <w:softHyphen/>
        <w:t xml:space="preserve">фалоспоринов III поколения назначают цефалоспорины IV поколения или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линезолид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(новый антибиотик из группы оксазолидинов, превосходящий по эффективности ванко</w:t>
        <w:softHyphen/>
        <w:t>мицин и некоторые другие антибиотики).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Для профилактики и лечения грибковой инфекции на всех этапах лечения используют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интраконазол, амфотерицин-В (фун- гизон)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флуконазол,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вирусной —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зовиракс (ацикловир)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имму</w:t>
        <w:softHyphen/>
        <w:t xml:space="preserve">ноглобулин </w:t>
      </w:r>
      <w:r>
        <w:rPr>
          <w:i/>
          <w:iCs/>
          <w:spacing w:val="0"/>
          <w:w w:val="100"/>
          <w:position w:val="0"/>
          <w:shd w:val="clear" w:color="auto" w:fill="auto"/>
          <w:lang w:val="en-US" w:eastAsia="en-US" w:bidi="en-US"/>
        </w:rPr>
        <w:t>G.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тяжелых стафилококковых процессах введе</w:t>
        <w:softHyphen/>
        <w:t xml:space="preserve">ние антибиотиков сочетают с применением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антистафилококко- вой плазмы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антистафилококкового гамма-глобулина.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особо тяжелых случаях, рефрактерных к антибиотикотерапии, показа</w:t>
        <w:softHyphen/>
        <w:t xml:space="preserve">но введение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лейкоцитарной массы.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320"/>
        <w:jc w:val="both"/>
        <w:sectPr>
          <w:footerReference w:type="default" r:id="rId142"/>
          <w:footerReference w:type="even" r:id="rId143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033" w:right="225" w:bottom="693" w:left="1911" w:header="605" w:footer="3" w:gutter="0"/>
          <w:pgNumType w:start="84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лечении инфекционных осложнений, помимо системных антибиотиков, значимую роль играют средства местного дейст</w:t>
        <w:softHyphen/>
        <w:t xml:space="preserve">вия. В частности, при орофарингеальном синдроме используют антисептические средства: орошение 1—2% раствором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перекиси водорода,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0,2% раствором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фурацилина,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20% спиртовым раствором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прополиса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т. д. При развившемся кандидозе ротовой полости применяют полоскание рта и горла раствором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леворина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или ин</w:t>
        <w:softHyphen/>
        <w:t xml:space="preserve">галяции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леворина-натрия,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пораженные участки обрабатывают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раствором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буры с глицерином,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используют карамель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декамин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2% гель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миконазол.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лечении вирусного афтознонекротического стоматита, помимо зовиракса, местно применяют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алписарин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(2% мазь),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хелепин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(1% мазь),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интерферон.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Для местного лечения ин</w:t>
        <w:softHyphen/>
        <w:t xml:space="preserve">фекционных осложнений в области промежности используют слабые растворы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фурацилина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грамицидина,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свечи с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левомице</w:t>
        <w:softHyphen/>
        <w:t>тином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анестезином,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мази с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календулой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димексидом.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Другим важным проявлением периода разгара является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гемор</w:t>
        <w:softHyphen/>
        <w:t>рагический синдром.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Геморрагические проявления чаще всего на</w:t>
        <w:softHyphen/>
        <w:t>чинаются с появления кровоизлияний в слизистые оболочки по</w:t>
        <w:softHyphen/>
        <w:t>лости рта, а затем и на коже. Появляются носовые кровотечения, кровь в кале, иногда гематурия. При тяжелых формах в дальней</w:t>
        <w:softHyphen/>
        <w:t>шем развиваются обильные внутренние кровотечения — кишеч</w:t>
        <w:softHyphen/>
        <w:t>ные, желудочные, маточные, из почечных лоханок, которые мо</w:t>
        <w:softHyphen/>
        <w:t>гут стать непосредственной причиной гибели больного.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Кровоточивость в облученном организме развивается в резуль</w:t>
        <w:softHyphen/>
        <w:t>тате нарушения всех трех факторов, ответственных за сохранение крови в пределах сосудистого русла: количественного содержа</w:t>
        <w:softHyphen/>
        <w:t>ния и функциональных свойств тромбоцитов, состояния сосуди</w:t>
        <w:softHyphen/>
        <w:t>стой стенки, состояния свертывающей и противосвертывающей систем. Однако главным фактором является количество тромбо</w:t>
        <w:softHyphen/>
        <w:t>цитов: пока их содержание в крови не окажется ниже 30х10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9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/л, обширных геморрагий обычно не возникает. Более глубокое снижение может привести к развитию тяжелых кровотечений и кровоизлияний.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Поскольку основным патогенетическим фактором в разви</w:t>
        <w:softHyphen/>
        <w:t xml:space="preserve">тии геморрагического синдрома является тромбоцитопения, наиболее эффективный метод его лечения — трансфузии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тром</w:t>
        <w:softHyphen/>
        <w:t>боцитарной массы.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360"/>
        <w:jc w:val="both"/>
        <w:sectPr>
          <w:footerReference w:type="default" r:id="rId144"/>
          <w:footerReference w:type="even" r:id="rId145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94" w:right="638" w:bottom="736" w:left="1440" w:header="566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Гемостатический эффект способны вызывать также препара</w:t>
        <w:softHyphen/>
        <w:t>ты, обладающие активностью III фактора свертывания тромбо</w:t>
        <w:softHyphen/>
        <w:t xml:space="preserve">цитов: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эригем,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являющийся источником фосфатидов, изолиро</w:t>
        <w:softHyphen/>
        <w:t xml:space="preserve">ванных из эритроцитов, а также жировые эмульсии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липовеноз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интралипид.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Компоненты, поддерживающие антитромботиче- скую активность крови (антитромбин III, плазминоген, физио</w:t>
        <w:softHyphen/>
        <w:t xml:space="preserve">логические антиагреганты и др.), содержатся также в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нативной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свежезамороженной плазме.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Снижение фибринолиза крови до</w:t>
        <w:softHyphen/>
        <w:t xml:space="preserve">стигается применением ингибиторов фибринолиза —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эпсилон- аминокапроновой кислоты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амбена (памба).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С этой же целью назначают антиферментные препараты —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пантрипин, ингитрил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или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контрикал.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Гемостатический эффект оказывают также препараты, воз</w:t>
        <w:softHyphen/>
        <w:t>действующие на сосудистый гемостаз и снижающие проницае</w:t>
        <w:softHyphen/>
        <w:t>мость сосудистой стенки (дицинон, серотонин, адроксон и др.).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Этамсилат (дицинон)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увеличивает образование в стенках со</w:t>
        <w:softHyphen/>
        <w:t>судов мукополисахаридов большой молекулярной массы и по</w:t>
        <w:softHyphen/>
        <w:t>вышает устойчивость капилляров, снижает их проницаемость, активирует адгезию тромбоцитов и стимулирует образование тканевого тромбопластина. Он вводится внутривенно или внут</w:t>
        <w:softHyphen/>
        <w:t>римышечно в виде 12,5% раствора по 2—4 мл через каждые 6 ч, а также принимается внутрь по 250—500 мг 4 раза в день.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Серотонин повышает резистентность стенки капилляров, ак</w:t>
        <w:softHyphen/>
        <w:t>тивность факторов протромбинового комплекса и толерантность к гепарину, ускоряет превращение фибриногена в фибрин, сти</w:t>
        <w:softHyphen/>
        <w:t xml:space="preserve">мулирует тромбоцитопоэз.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Серотонина адипинат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(1% раствор) применяется внутривенно или внутримышечно 2 раза в сутки.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Адроксон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оказывает гемостатическое действие при капилляр</w:t>
        <w:softHyphen/>
        <w:t>ных кровотечениях, возникающих вследствие повышенной про</w:t>
        <w:softHyphen/>
        <w:t xml:space="preserve">ницаемости стенок капилляров. Назначается внутримышечно или под кожу по 1 мл 0,025% раствора до 4 раз в день или местно (обильно смоченная салфетка). Укрепление сосудистой стенки достигается также применением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аскорбиновой кислоты, рутина, аскорутина.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При кровотечениях из носа и раневых поверхностей местно назначают активаторы коагуляции —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тромбин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фибриноген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(в форме пленки фибринной или гемостатической губки). Исполь</w:t>
        <w:softHyphen/>
        <w:t xml:space="preserve">зуют также полоскания 3%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перекисью водорода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аппликации по</w:t>
        <w:softHyphen/>
        <w:t xml:space="preserve">вышающими агрегацию тромбоцитов марлевыми тампонами, смоченными 5% раствором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эпсилонаминокапроновой кислоты.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Развивающуюся вследствие кровотечений анемию можно пол</w:t>
        <w:softHyphen/>
        <w:t xml:space="preserve">ностью купировать инфузиями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эритромассы.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  <w:sectPr>
          <w:footerReference w:type="default" r:id="rId146"/>
          <w:footerReference w:type="even" r:id="rId147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57" w:right="329" w:bottom="783" w:left="1802" w:header="529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Инфекционный и геморрагический синдромы являются веду</w:t>
        <w:softHyphen/>
        <w:t>щими в клинической картине периода разгара костномозговой формы ОЛБ. Вместе с тем существенное значение для судьбы облученного организма имеют и некоторые другие проявления: синдром общей интоксикации или «лучевой эндотоксикоз», ас</w:t>
        <w:softHyphen/>
        <w:t>тения, вегетососудистая дистония, кахексия, аутоиммунные по</w:t>
        <w:softHyphen/>
        <w:t>ражения, лучевая алопеция (выпадение волос), энцефалопатия и др. Глубокая анемия не характерна для неосложненного лучево</w:t>
        <w:softHyphen/>
        <w:t>го поражения, что связано с большой продолжительностью жиз</w:t>
        <w:softHyphen/>
        <w:t>ни эритроцитов: если не возникнет сильного кровотечения, ес</w:t>
        <w:softHyphen/>
        <w:t>тественная убыль эритроцитов даже при полном прекращении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продукции новых клеток привела бы к снижению их содержания к началу периода разгара всего на 20-30% (в среднем на 1% в сутки).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Глубина и продолжительность цитопении и, соответственно, тяжесть клинических проявлений периода разгара, зависят преж</w:t>
        <w:softHyphen/>
        <w:t>де всего от дозы облучения: чем больше доза, тем сильнее цито</w:t>
        <w:softHyphen/>
        <w:t>пения и выше степень тяжести ОЛБ. Непосредственной причи</w:t>
        <w:softHyphen/>
        <w:t>ной смерти при ОЛБ чаще всего служат тяжелые инфекционные процессы и кровоизлияния в жизненно важные органы.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Если в периоде разгара не наступит смерть, регенераторные процессы в кроветворной системе обеспечивают через опреде</w:t>
        <w:softHyphen/>
        <w:t xml:space="preserve">ленный срок увеличение числа зрелых клеток крови, а с ним и ликвидацию симптоматики периода разгара. Начинается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период восстановления,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течение которого происходит полная или час</w:t>
        <w:softHyphen/>
        <w:t>тичная нормализация функций критических систем организма.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Начало этого периода характеризуется улучшением состоя</w:t>
        <w:softHyphen/>
        <w:t>ния здоровья: появляется аппетит, нормализуется температура тела и функция желудочно-кишечного тракта, повышается мас</w:t>
        <w:softHyphen/>
        <w:t>са тела, исчезают симптомы кровоточивости. Отмечаются при</w:t>
        <w:softHyphen/>
        <w:t>знаки регенерации гемопоэза: в крови появляются ретикулоци</w:t>
        <w:softHyphen/>
        <w:t>ты, юные и палочкоядерные нейтрофилы. Однако в это же время продолжает прогрессировать (до 5—6 месяцев после облучения) анемия: число эритроцитов, как и большинство биохимических показателей крови, восстанавливается лишь спустя 8—10 меся</w:t>
        <w:softHyphen/>
        <w:t>цев после радиационного воздействия.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Длительное время (иногда в течение нескольких лет) у боль</w:t>
        <w:softHyphen/>
        <w:t>ных сохраняются психические и вегетативно-сосудистые рас</w:t>
        <w:softHyphen/>
        <w:t>стройства неврастенического, ипохондрического и астенодепрес- сивного характера (эмоциональная лабильность, напряженность, тревожность, различные формы патологии черепно-мозговых нервов, тремор пальцев рук и т. д.). Возможно развитие гастрита, эзофагита, гепатита. При лучевом поражении кожи период вы</w:t>
        <w:softHyphen/>
        <w:t>здоровления протекает волнообразно, с рецидивами эритемы кожи, отеком подкожной клетчатки. После облучения в дозах свыше 2 Гр в период восстановления могут формироваться ката</w:t>
        <w:softHyphen/>
        <w:t>ракты, возможно поражение сетчатки глаз, снижение остроты зрения.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  <w:sectPr>
          <w:footerReference w:type="default" r:id="rId148"/>
          <w:footerReference w:type="even" r:id="rId149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57" w:right="850" w:bottom="749" w:left="1248" w:header="529" w:footer="3" w:gutter="0"/>
          <w:pgNumType w:start="7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Средняя длительность периода восстановления составляет от 3 до 6 месяцев, однако у больных в течение длительного времени (иногда всю жизнь) могут сохраняться остаточные явления и развиваться отдаленные последствия.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Остаточные явления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пред-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ставляют собой последствия неполного восстановления повреж</w:t>
        <w:softHyphen/>
        <w:t>дений, лежавших в основе острого поражения: лейкопения, ане</w:t>
        <w:softHyphen/>
        <w:t xml:space="preserve">мия, стерильность и др.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Отдаленные последствия —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новые пато</w:t>
        <w:softHyphen/>
        <w:t>логические процессы, которые в силу достаточно длительного скрытого периода для своего развития в периоде разгара ОЛБ не проявлялись: катаракты, склеротические изменения, дистрофи</w:t>
        <w:softHyphen/>
        <w:t>ческие процессы, новообразования, сокращение продолжитель</w:t>
        <w:softHyphen/>
        <w:t>ности жизни. Здесь же следует упомянуть и генетические по</w:t>
        <w:softHyphen/>
        <w:t>следствия, проявляющиеся у потомства облученных родителей в результате мутагенного действия радиации на герминативные клетки.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Выраженность различных синдромов и симптомов ОЛБ, сро</w:t>
        <w:softHyphen/>
        <w:t>ки начала и продолжительность различных периодов ее течения зависят от степени тяжести заболевания (табл. 9).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ОЛБ I (легкой) степени первичная реакция может от</w:t>
        <w:softHyphen/>
        <w:t>сутствовать или проявляться в виде умеренно выраженной тош</w:t>
        <w:softHyphen/>
        <w:t>ноты, головной боли, общей слабости, однократной рвоты. Ла</w:t>
        <w:softHyphen/>
        <w:t>тентный период длится 4—5 недель, число лейкоцитов в перио</w:t>
        <w:softHyphen/>
        <w:t>де разгара (если он регистрируется клинически) снижается до 1,5—2 х 10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9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/л, тромбоцитов — до 40—50 х 10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9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/л. Клинические при</w:t>
        <w:softHyphen/>
        <w:t>знаки разгара носят характер астеновегетативного синдрома (об</w:t>
        <w:softHyphen/>
        <w:t>щая слабость, нарушения нейровисцеральной регуляции). В пе</w:t>
        <w:softHyphen/>
        <w:t>риод восстановления возможно снижение тонуса мозговых сосу</w:t>
        <w:softHyphen/>
        <w:t>дов, эмоциональная лабильность, акрогипергидроз. Прогноз для жизни при ОЛБ легкой степени благоприятный, трудоспособ</w:t>
        <w:softHyphen/>
        <w:t>ность во все периоды сохраняется, но в течение 2-го месяца бо</w:t>
        <w:softHyphen/>
        <w:t>лезни требуется ограничение тяжелого физического труда.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4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Острая лучевая болезнь II (средней) степени характеризуется достаточно выраженной первичной реакцией продолжительно</w:t>
        <w:softHyphen/>
        <w:t>стью от 6 до 12 ч (тошнота, повторная или неоднократная рвота). Время появления рвоты — около 1 —2 ч. Изредка регистрируются общемозговые явления, нарушения черепно-мозговой иннерва</w:t>
        <w:softHyphen/>
        <w:t>ции, умеренные вегетативно-сосудистые расстройства. В период разгара наблюдаются симптомы астеновегетативного характера (общая слабость, головная боль), в случае развития агранулоци</w:t>
        <w:softHyphen/>
        <w:t>тоза повышается температура тела, возможны инфекционные осложнения, кровоточивость (при снижении числа тромбоцитов в крови до 20—40хЮ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9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/л). Продолжительность периода разгара составляет около 2 недель. В период восстановления у некоторых пострадавших сохраняются психические и вегетативно-сосуди</w:t>
        <w:softHyphen/>
        <w:t>стые нарушения в рамках неврастенического, ипохондрического,</w:t>
      </w:r>
    </w:p>
    <w:p>
      <w:pPr>
        <w:pStyle w:val="Style8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  <w:rPr>
          <w:sz w:val="19"/>
          <w:szCs w:val="19"/>
        </w:rPr>
        <w:sectPr>
          <w:headerReference w:type="default" r:id="rId150"/>
          <w:footerReference w:type="default" r:id="rId151"/>
          <w:headerReference w:type="even" r:id="rId152"/>
          <w:footerReference w:type="even" r:id="rId153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169" w:right="427" w:bottom="268" w:left="1704" w:header="0" w:footer="3" w:gutter="0"/>
          <w:pgNumType w:start="88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19"/>
          <w:szCs w:val="19"/>
          <w:shd w:val="clear" w:color="auto" w:fill="auto"/>
          <w:lang w:val="ru-RU" w:eastAsia="ru-RU" w:bidi="ru-RU"/>
        </w:rPr>
        <w:t>ВВ</w:t>
      </w:r>
    </w:p>
    <w:p>
      <w:pPr>
        <w:pStyle w:val="Style8"/>
        <w:keepNext w:val="0"/>
        <w:keepLines w:val="0"/>
        <w:framePr w:w="202" w:h="394" w:hRule="exact" w:wrap="none" w:hAnchor="page" w:x="865" w:y="578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textDirection w:val="tbRl"/>
        <w:rPr>
          <w:sz w:val="19"/>
          <w:szCs w:val="19"/>
        </w:rPr>
      </w:pPr>
      <w:r>
        <w:rPr>
          <w:spacing w:val="0"/>
          <w:w w:val="100"/>
          <w:position w:val="0"/>
          <w:sz w:val="19"/>
          <w:szCs w:val="19"/>
          <w:shd w:val="clear" w:color="auto" w:fill="auto"/>
          <w:lang w:val="en-US" w:eastAsia="en-US" w:bidi="en-US"/>
        </w:rPr>
        <w:t>BS</w:t>
      </w:r>
    </w:p>
    <w:p>
      <w:pPr>
        <w:pStyle w:val="Style21"/>
        <w:keepNext w:val="0"/>
        <w:keepLines w:val="0"/>
        <w:framePr w:w="6226" w:h="643" w:wrap="none" w:hAnchor="page" w:x="3217" w:y="241"/>
        <w:widowControl w:val="0"/>
        <w:shd w:val="clear" w:color="auto" w:fill="auto"/>
        <w:bidi w:val="0"/>
        <w:spacing w:before="0" w:after="0" w:line="233" w:lineRule="auto"/>
        <w:ind w:left="0" w:right="0" w:firstLine="0"/>
        <w:jc w:val="center"/>
        <w:rPr>
          <w:sz w:val="18"/>
          <w:szCs w:val="18"/>
        </w:rPr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>Общая характеристика костномозговой формы</w:t>
        <w:br/>
        <w:t>острой лучевой болезни различной степени тяжеоти</w:t>
      </w:r>
    </w:p>
    <w:p>
      <w:pPr>
        <w:pStyle w:val="Style21"/>
        <w:keepNext w:val="0"/>
        <w:keepLines w:val="0"/>
        <w:framePr w:w="6226" w:h="643" w:wrap="none" w:hAnchor="page" w:x="3217" w:y="24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(по А. К. Гуськовой и Г. Д Байсоголову, 1971 Г М. Аветисову и др., 1999</w:t>
      </w:r>
    </w:p>
    <w:tbl>
      <w:tblPr>
        <w:tblOverlap w:val="never"/>
        <w:jc w:val="left"/>
        <w:tblLayout w:type="fixed"/>
      </w:tblPr>
      <w:tblGrid>
        <w:gridCol w:w="2467"/>
        <w:gridCol w:w="1867"/>
        <w:gridCol w:w="1862"/>
        <w:gridCol w:w="1867"/>
        <w:gridCol w:w="1901"/>
      </w:tblGrid>
      <w:tr>
        <w:trPr>
          <w:trHeight w:val="365" w:hRule="exact"/>
        </w:trPr>
        <w:tc>
          <w:tcPr>
            <w:vMerge w:val="restart"/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Показатель</w:t>
            </w:r>
          </w:p>
        </w:tc>
        <w:tc>
          <w:tcPr>
            <w:gridSpan w:val="4"/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Степень тяжести ОЛБ / дозы облучения</w:t>
            </w:r>
          </w:p>
        </w:tc>
      </w:tr>
      <w:tr>
        <w:trPr>
          <w:trHeight w:val="523" w:hRule="exact"/>
        </w:trPr>
        <w:tc>
          <w:tcPr>
            <w:vMerge/>
            <w:tcBorders/>
            <w:shd w:val="clear" w:color="auto" w:fill="auto"/>
            <w:vAlign w:val="center"/>
          </w:tcPr>
          <w:p>
            <w:pPr>
              <w:framePr w:w="9965" w:h="5160" w:vSpace="902" w:wrap="none" w:hAnchor="page" w:x="1350" w:y="903"/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 (легкая) /1-2 Гр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II (средняя) / 2-4 Гр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 xml:space="preserve">III </w:t>
            </w: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(тяжелая) / 4-6 Гр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IV (крайне тяжелая) / более 6 Гр</w:t>
            </w:r>
          </w:p>
        </w:tc>
      </w:tr>
      <w:tr>
        <w:trPr>
          <w:trHeight w:val="936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Выраженность и продолжительность периода первичной реакции на облучение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Может отсутствовать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Легкая, от 4-6 ч до 1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Тяжелая, от 0,5 до 2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62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Крайне тяжелая, более 2 суток</w:t>
            </w:r>
          </w:p>
        </w:tc>
      </w:tr>
      <w:tr>
        <w:trPr>
          <w:trHeight w:val="552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Латентный период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Неотчетливый (3-5 недель)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До 2 недель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1-2 недели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До 1 недели, может отсутствовать</w:t>
            </w:r>
          </w:p>
        </w:tc>
      </w:tr>
      <w:tr>
        <w:trPr>
          <w:trHeight w:val="739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Период разгара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62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2-3 недели при удовлетворительном</w:t>
            </w:r>
          </w:p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62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COC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ГОЯНИИ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2-3 недели при средней тяжести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62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3-4 недели при тяжелом состоянии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62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1-2 недели при крайне тяжелом состоянии</w:t>
            </w:r>
          </w:p>
        </w:tc>
      </w:tr>
      <w:tr>
        <w:trPr>
          <w:trHeight w:val="552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Летальный исход (при лечении в стационаре). %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8A8A8A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-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8A8A8A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-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90-100</w:t>
            </w:r>
          </w:p>
        </w:tc>
      </w:tr>
      <w:tr>
        <w:trPr>
          <w:trHeight w:val="365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Начало цитопении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На 4-5 й неделе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На 3-4-й неделе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На 2-3-й неделе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 1-2-й недели</w:t>
            </w:r>
          </w:p>
        </w:tc>
      </w:tr>
      <w:tr>
        <w:trPr>
          <w:trHeight w:val="365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Лейкоциты, х1()9/л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1.5-3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0,5-2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&lt;0.1-0.5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Единичные в препарате</w:t>
            </w:r>
          </w:p>
        </w:tc>
      </w:tr>
      <w:tr>
        <w:trPr>
          <w:trHeight w:val="365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Лимфоциты, х10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9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/л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0,5-1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0,3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0,1</w:t>
            </w:r>
          </w:p>
        </w:tc>
      </w:tr>
      <w:tr>
        <w:trPr>
          <w:trHeight w:val="398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Тромбоциты. х10®/л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50-200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20-50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10-20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65" w:h="5160" w:vSpace="902" w:wrap="none" w:hAnchor="page" w:x="1350" w:y="903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0-10</w:t>
            </w:r>
          </w:p>
        </w:tc>
      </w:tr>
    </w:tbl>
    <w:p>
      <w:pPr>
        <w:framePr w:w="9965" w:h="5160" w:vSpace="902" w:wrap="none" w:hAnchor="page" w:x="1350" w:y="903"/>
        <w:widowControl w:val="0"/>
        <w:spacing w:line="1" w:lineRule="exact"/>
      </w:pPr>
    </w:p>
    <w:p>
      <w:pPr>
        <w:pStyle w:val="Style71"/>
        <w:keepNext w:val="0"/>
        <w:keepLines w:val="0"/>
        <w:framePr w:w="806" w:h="192" w:wrap="none" w:hAnchor="page" w:x="10504" w:y="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right"/>
        <w:rPr>
          <w:sz w:val="15"/>
          <w:szCs w:val="15"/>
        </w:rPr>
      </w:pPr>
      <w:r>
        <w:rPr>
          <w:i/>
          <w:iCs/>
          <w:spacing w:val="0"/>
          <w:w w:val="100"/>
          <w:position w:val="0"/>
          <w:sz w:val="15"/>
          <w:szCs w:val="15"/>
          <w:shd w:val="clear" w:color="auto" w:fill="auto"/>
          <w:lang w:val="ru-RU" w:eastAsia="ru-RU" w:bidi="ru-RU"/>
        </w:rPr>
        <w:t>Таблица</w:t>
      </w:r>
      <w:r>
        <w:rPr>
          <w:b w:val="0"/>
          <w:bCs w:val="0"/>
          <w:spacing w:val="0"/>
          <w:w w:val="100"/>
          <w:position w:val="0"/>
          <w:sz w:val="15"/>
          <w:szCs w:val="15"/>
          <w:shd w:val="clear" w:color="auto" w:fill="auto"/>
          <w:lang w:val="ru-RU" w:eastAsia="ru-RU" w:bidi="ru-RU"/>
        </w:rPr>
        <w:t xml:space="preserve"> </w:t>
      </w:r>
      <w:r>
        <w:rPr>
          <w:b w:val="0"/>
          <w:bCs w:val="0"/>
          <w:spacing w:val="0"/>
          <w:w w:val="100"/>
          <w:position w:val="0"/>
          <w:sz w:val="15"/>
          <w:szCs w:val="15"/>
          <w:shd w:val="clear" w:color="auto" w:fill="auto"/>
          <w:lang w:val="en-US" w:eastAsia="en-US" w:bidi="en-US"/>
        </w:rPr>
        <w:t>9</w:t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412" w:line="1" w:lineRule="exact"/>
      </w:pPr>
    </w:p>
    <w:p>
      <w:pPr>
        <w:widowControl w:val="0"/>
        <w:spacing w:line="1" w:lineRule="exact"/>
        <w:sectPr>
          <w:headerReference w:type="default" r:id="rId154"/>
          <w:footerReference w:type="default" r:id="rId155"/>
          <w:headerReference w:type="even" r:id="rId156"/>
          <w:footerReference w:type="even" r:id="rId157"/>
          <w:footnotePr>
            <w:pos w:val="pageBottom"/>
            <w:numFmt w:val="chicago"/>
            <w:numRestart w:val="continuous"/>
            <w15:footnoteColumns w:val="1"/>
          </w:footnotePr>
          <w:pgSz w:w="12667" w:h="7819" w:orient="landscape"/>
          <w:pgMar w:top="946" w:right="1354" w:bottom="501" w:left="864" w:header="518" w:footer="3" w:gutter="0"/>
          <w:cols w:space="720"/>
          <w:noEndnote/>
          <w:rtlGutter w:val="0"/>
          <w:docGrid w:linePitch="360"/>
        </w:sectPr>
      </w:pPr>
    </w:p>
    <w:p>
      <w:pPr>
        <w:pStyle w:val="Style8"/>
        <w:keepNext w:val="0"/>
        <w:keepLines w:val="0"/>
        <w:framePr w:w="206" w:h="398" w:hRule="exact" w:wrap="none" w:hAnchor="page" w:x="696" w:y="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  <w:textDirection w:val="btLr"/>
        <w:rPr>
          <w:sz w:val="19"/>
          <w:szCs w:val="19"/>
        </w:rPr>
      </w:pPr>
      <w:r>
        <w:rPr>
          <w:color w:val="000000"/>
          <w:spacing w:val="0"/>
          <w:w w:val="100"/>
          <w:position w:val="0"/>
          <w:sz w:val="19"/>
          <w:szCs w:val="19"/>
          <w:shd w:val="clear" w:color="auto" w:fill="auto"/>
          <w:lang w:val="en-US" w:eastAsia="en-US" w:bidi="en-US"/>
        </w:rPr>
        <w:t>OB</w:t>
      </w:r>
    </w:p>
    <w:tbl>
      <w:tblPr>
        <w:tblOverlap w:val="never"/>
        <w:jc w:val="left"/>
        <w:tblLayout w:type="fixed"/>
      </w:tblPr>
      <w:tblGrid>
        <w:gridCol w:w="2434"/>
        <w:gridCol w:w="1867"/>
      </w:tblGrid>
      <w:tr>
        <w:trPr>
          <w:trHeight w:val="365" w:hRule="exact"/>
        </w:trPr>
        <w:tc>
          <w:tcPr>
            <w:vMerge w:val="restart"/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Показатель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framePr w:w="4301" w:h="5808" w:wrap="none" w:hAnchor="page" w:x="1205" w:y="366"/>
              <w:widowControl w:val="0"/>
              <w:rPr>
                <w:sz w:val="10"/>
                <w:szCs w:val="10"/>
              </w:rPr>
            </w:pPr>
          </w:p>
        </w:tc>
      </w:tr>
      <w:tr>
        <w:trPr>
          <w:trHeight w:val="523" w:hRule="exact"/>
        </w:trPr>
        <w:tc>
          <w:tcPr>
            <w:vMerge/>
            <w:tcBorders/>
            <w:shd w:val="clear" w:color="auto" w:fill="auto"/>
            <w:vAlign w:val="center"/>
          </w:tcPr>
          <w:p>
            <w:pPr>
              <w:framePr w:w="4301" w:h="5808" w:wrap="none" w:hAnchor="page" w:x="1205" w:y="366"/>
            </w:pP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 (легкая) /1-2 Гр</w:t>
            </w:r>
          </w:p>
        </w:tc>
      </w:tr>
      <w:tr>
        <w:trPr>
          <w:trHeight w:val="365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Эритроциты. *10</w:t>
            </w: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12</w:t>
            </w: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/л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4-5</w:t>
            </w:r>
          </w:p>
        </w:tc>
      </w:tr>
      <w:tr>
        <w:trPr>
          <w:trHeight w:val="360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Гемоглобин. %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70-60</w:t>
            </w:r>
          </w:p>
        </w:tc>
      </w:tr>
      <w:tr>
        <w:trPr>
          <w:trHeight w:val="360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СОЭ, мм/ч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15-20</w:t>
            </w:r>
          </w:p>
        </w:tc>
      </w:tr>
      <w:tr>
        <w:trPr>
          <w:trHeight w:val="552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Кровоизлияния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—</w:t>
            </w:r>
          </w:p>
        </w:tc>
      </w:tr>
      <w:tr>
        <w:trPr>
          <w:trHeight w:val="355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Бактериемия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—</w:t>
            </w:r>
          </w:p>
        </w:tc>
      </w:tr>
      <w:tr>
        <w:trPr>
          <w:trHeight w:val="360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Сознание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Ясное</w:t>
            </w:r>
          </w:p>
        </w:tc>
      </w:tr>
      <w:tr>
        <w:trPr>
          <w:trHeight w:val="360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Температура тела, *С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Нормальная</w:t>
            </w:r>
          </w:p>
        </w:tc>
      </w:tr>
      <w:tr>
        <w:trPr>
          <w:trHeight w:val="744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Нервная система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7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Без видимых нарушений</w:t>
            </w:r>
          </w:p>
        </w:tc>
      </w:tr>
      <w:tr>
        <w:trPr>
          <w:trHeight w:val="360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Аппетит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Понижен</w:t>
            </w:r>
          </w:p>
        </w:tc>
      </w:tr>
      <w:tr>
        <w:trPr>
          <w:trHeight w:val="739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Сердечно-сосудистая система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Вегетативная дистония</w:t>
            </w:r>
          </w:p>
        </w:tc>
      </w:tr>
      <w:tr>
        <w:trPr>
          <w:trHeight w:val="365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Масса тела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4301" w:h="5808" w:wrap="none" w:hAnchor="page" w:x="1205" w:y="366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Без изменений</w:t>
            </w:r>
          </w:p>
        </w:tc>
      </w:tr>
    </w:tbl>
    <w:p>
      <w:pPr>
        <w:framePr w:w="4301" w:h="5808" w:wrap="none" w:hAnchor="page" w:x="1205" w:y="366"/>
        <w:widowControl w:val="0"/>
        <w:spacing w:line="1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412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chicago"/>
            <w:numRestart w:val="continuous"/>
            <w15:footnoteColumns w:val="1"/>
          </w:footnotePr>
          <w:pgSz w:w="5505" w:h="7871"/>
          <w:pgMar w:top="1279" w:right="0" w:bottom="219" w:left="695" w:header="851" w:footer="3" w:gutter="0"/>
          <w:cols w:space="720"/>
          <w:noEndnote/>
          <w:rtlGutter w:val="0"/>
          <w:docGrid w:linePitch="360"/>
        </w:sectPr>
      </w:pPr>
    </w:p>
    <w:p>
      <w:pPr>
        <w:pStyle w:val="Style15"/>
        <w:keepNext w:val="0"/>
        <w:keepLines w:val="0"/>
        <w:widowControl w:val="0"/>
        <w:pBdr>
          <w:bottom w:val="single" w:sz="4" w:space="0" w:color="auto"/>
        </w:pBdr>
        <w:shd w:val="clear" w:color="auto" w:fill="auto"/>
        <w:bidi w:val="0"/>
        <w:spacing w:before="0" w:after="160" w:line="240" w:lineRule="auto"/>
        <w:ind w:left="0" w:right="0" w:firstLine="0"/>
        <w:jc w:val="right"/>
      </w:pPr>
      <w:r>
        <w:rPr>
          <w:i/>
          <w:iCs/>
          <w:color w:val="000000"/>
          <w:spacing w:val="0"/>
          <w:w w:val="100"/>
          <w:position w:val="0"/>
          <w:shd w:val="clear" w:color="auto" w:fill="auto"/>
          <w:lang w:val="ru-RU" w:eastAsia="ru-RU" w:bidi="ru-RU"/>
        </w:rPr>
        <w:t>Окончание таблицы 9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260"/>
        <w:jc w:val="left"/>
      </w:pPr>
      <w:r>
        <w:rPr>
          <w:b/>
          <w:bCs/>
          <w:color w:val="000000"/>
          <w:spacing w:val="0"/>
          <w:w w:val="100"/>
          <w:position w:val="0"/>
          <w:shd w:val="clear" w:color="auto" w:fill="auto"/>
          <w:lang w:val="ru-RU" w:eastAsia="ru-RU" w:bidi="ru-RU"/>
        </w:rPr>
        <w:t>Степень тяжести ОЛБ / дозы облучения</w:t>
      </w:r>
    </w:p>
    <w:tbl>
      <w:tblPr>
        <w:tblOverlap w:val="never"/>
        <w:jc w:val="center"/>
        <w:tblLayout w:type="fixed"/>
      </w:tblPr>
      <w:tblGrid>
        <w:gridCol w:w="1862"/>
        <w:gridCol w:w="1872"/>
        <w:gridCol w:w="1896"/>
      </w:tblGrid>
      <w:tr>
        <w:trPr>
          <w:trHeight w:val="542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II (средняя) / 2-4 Гр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 xml:space="preserve">III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(тяжелая) / 4-6 Гр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IV (крайне тяжелая) / более 6 Гр</w:t>
            </w:r>
          </w:p>
        </w:tc>
      </w:tr>
      <w:tr>
        <w:trPr>
          <w:trHeight w:val="365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2-3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1-2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1-2</w:t>
            </w:r>
          </w:p>
        </w:tc>
      </w:tr>
      <w:tr>
        <w:trPr>
          <w:trHeight w:val="360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50-60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30-40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20-30</w:t>
            </w:r>
          </w:p>
        </w:tc>
      </w:tr>
      <w:tr>
        <w:trPr>
          <w:trHeight w:val="360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20-40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40-60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50-70</w:t>
            </w:r>
          </w:p>
        </w:tc>
      </w:tr>
      <w:tr>
        <w:trPr>
          <w:trHeight w:val="552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Малочисленные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Множественные, могут быть кровотечения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2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Множественные, кровотечения</w:t>
            </w:r>
          </w:p>
        </w:tc>
      </w:tr>
      <w:tr>
        <w:trPr>
          <w:trHeight w:val="355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•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+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♦♦</w:t>
            </w:r>
          </w:p>
        </w:tc>
      </w:tr>
      <w:tr>
        <w:trPr>
          <w:trHeight w:val="360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Ясное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Временами спутанное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0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Спутанное, потеря</w:t>
            </w:r>
          </w:p>
        </w:tc>
      </w:tr>
      <w:tr>
        <w:trPr>
          <w:trHeight w:val="360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37-38*С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39-40*С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40-41*С</w:t>
            </w:r>
          </w:p>
        </w:tc>
      </w:tr>
      <w:tr>
        <w:trPr>
          <w:trHeight w:val="744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Нарушение рефлексов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1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Мышечная слабость, менингеальные симптомы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Резкие нарушения, патологические рефлексы</w:t>
            </w:r>
          </w:p>
        </w:tc>
      </w:tr>
      <w:tr>
        <w:trPr>
          <w:trHeight w:val="360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Понижен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Отсутствует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Отказ от пищи</w:t>
            </w:r>
          </w:p>
        </w:tc>
      </w:tr>
      <w:tr>
        <w:trPr>
          <w:trHeight w:val="739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Гипотония, тахикардия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Сердечно-сосудистая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недостаточность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Острая сердечно-сосудистая недостаточность</w:t>
            </w:r>
          </w:p>
        </w:tc>
      </w:tr>
      <w:tr>
        <w:trPr>
          <w:trHeight w:val="394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Снижение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Истощение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Истощение</w:t>
            </w:r>
          </w:p>
        </w:tc>
      </w:tr>
    </w:tbl>
    <w:p>
      <w:pPr>
        <w:sectPr>
          <w:footnotePr>
            <w:pos w:val="pageBottom"/>
            <w:numFmt w:val="chicago"/>
            <w:numRestart w:val="continuous"/>
            <w15:footnoteColumns w:val="1"/>
          </w:footnotePr>
          <w:pgSz w:w="6449" w:h="7871"/>
          <w:pgMar w:top="1395" w:right="818" w:bottom="200" w:left="0" w:header="967" w:footer="3" w:gutter="0"/>
          <w:cols w:space="720"/>
          <w:noEndnote/>
          <w:rtlGutter w:val="0"/>
          <w:docGrid w:linePitch="360"/>
        </w:sectPr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560" w:right="0" w:firstLine="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астеиодепрессивного или вегетативно-дистонического синдро</w:t>
        <w:softHyphen/>
        <w:t>мов. При проведении надлежащего лечения прогноз при ОЛБ средней степени благоприятный, к началу 3-го месяца болезни возможно возвращение к легкому труду, а через год — к обычной деятельности.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9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ОЛБ III (тяжелой) степени синдром первичной реакции на облучение развивается спустя 0,5—1 ч (чаще через 1,5—2 ч) после облучения и длится более 1 суток. Рвота, как правило, обильная, многократная, отмечается выраженная общая сла</w:t>
        <w:softHyphen/>
        <w:t>бость, головная боль, субфебрильная температура. Реже наблю</w:t>
        <w:softHyphen/>
        <w:t xml:space="preserve">даются головокружение, гиперемия кожных покровов, диарея. Скрытый период продолжается 1—2 недели. Период разгара ха- </w:t>
      </w:r>
      <w:r>
        <w:rPr>
          <w:rFonts w:ascii="Arial" w:eastAsia="Arial" w:hAnsi="Arial" w:cs="Arial"/>
          <w:b/>
          <w:bCs/>
          <w:color w:val="8A8A8A"/>
          <w:spacing w:val="0"/>
          <w:w w:val="100"/>
          <w:position w:val="0"/>
          <w:sz w:val="19"/>
          <w:szCs w:val="19"/>
          <w:shd w:val="clear" w:color="auto" w:fill="auto"/>
          <w:lang w:val="ru-RU" w:eastAsia="ru-RU" w:bidi="ru-RU"/>
        </w:rPr>
        <w:t xml:space="preserve">I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растеризуется инфекционно-токсическими проявлениями, воз</w:t>
        <w:softHyphen/>
        <w:t>можны симптомы печеночно-почечной недостаточности и ради</w:t>
        <w:softHyphen/>
        <w:t>ационно-токсической энцефалопатии (оглушенность, мозговая кома, острый психоз и др.). Агранулоцитоз развивается в 100% случаев, сопровождается выраженной лихорадкой, уровень СОЭ достигает 40—80 мм/ч, у пострадавших возможно развитие гер</w:t>
        <w:softHyphen/>
        <w:t>петической инфекции с угрозой поражения легких. При крити</w:t>
        <w:softHyphen/>
        <w:t>ческом падении уровня тромбоцитов (ниже 10—20 х 10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9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/л) разви</w:t>
        <w:softHyphen/>
        <w:t>вается геморрагический синдром с множественными кровоизли</w:t>
        <w:softHyphen/>
        <w:t>яниями в кожу, слизистые оболочки, мозг, сердце, легкие, желудочно-кишечный траст, велика опасность внутренних кро</w:t>
        <w:softHyphen/>
        <w:t>вотечений. У больных, перенесших период разгара ОЛБ, длите</w:t>
        <w:softHyphen/>
        <w:t>льное время сохраняются астеноневротические расстройства в сочетании с вегетативно-сосудистой и эмоциональной лабильно</w:t>
        <w:softHyphen/>
        <w:t>стью, депрессивным фоном настроения, стойкая микроочаговая симптоматика (признаки нарушения функции черепномозговых нервов, гипер- и анизорефлексия, нистагм, патологические реф</w:t>
        <w:softHyphen/>
        <w:t>лексы и др.). Прогноз при ОЛБ тяжелой степени сомнительный: даже интенсивная комплексная терапия в специализированном стационаре не всегда оказывается успешной, а продолжитель</w:t>
        <w:softHyphen/>
        <w:t>ность жизни в случаях, заканчивающихся летально, составляет около 3—5 недель. В благоприятных случаях после перенесенной ОЛБ тяжелой степени работоспособность полностью не восста</w:t>
        <w:softHyphen/>
        <w:t>навливается, начиная с 4-го месяца болезни возможен легкий труд.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560" w:right="0"/>
        <w:jc w:val="both"/>
        <w:sectPr>
          <w:headerReference w:type="default" r:id="rId158"/>
          <w:footerReference w:type="default" r:id="rId159"/>
          <w:headerReference w:type="even" r:id="rId160"/>
          <w:footerReference w:type="even" r:id="rId161"/>
          <w:footnotePr>
            <w:pos w:val="pageBottom"/>
            <w:numFmt w:val="chicago"/>
            <w:numRestart w:val="continuous"/>
            <w15:footnoteColumns w:val="1"/>
          </w:footnotePr>
          <w:pgSz w:w="8141" w:h="12533"/>
          <w:pgMar w:top="1253" w:right="664" w:bottom="1130" w:left="626" w:header="825" w:footer="3" w:gutter="0"/>
          <w:pgNumType w:start="91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Острая лучевая болезнь IV (крайне тяжелой) степени харак</w:t>
        <w:softHyphen/>
        <w:t>теризуется ранней и чрезвычайно выраженной первичной реак</w:t>
        <w:softHyphen/>
        <w:t>цией на облучение (тошнота, неукротимая рвота, головная боль, общая слабость, гиперемия, диарея, анизо- и гипорефлексия,</w:t>
      </w:r>
    </w:p>
    <w:p>
      <w:pPr>
        <w:widowControl w:val="0"/>
        <w:spacing w:line="35" w:lineRule="exact"/>
        <w:rPr>
          <w:sz w:val="3"/>
          <w:szCs w:val="3"/>
        </w:rPr>
      </w:pPr>
    </w:p>
    <w:p>
      <w:pPr>
        <w:widowControl w:val="0"/>
        <w:spacing w:line="1" w:lineRule="exact"/>
        <w:sectPr>
          <w:headerReference w:type="default" r:id="rId162"/>
          <w:footerReference w:type="default" r:id="rId163"/>
          <w:headerReference w:type="even" r:id="rId164"/>
          <w:footerReference w:type="even" r:id="rId165"/>
          <w:headerReference w:type="first" r:id="rId166"/>
          <w:footerReference w:type="first" r:id="rId167"/>
          <w:footnotePr>
            <w:pos w:val="pageBottom"/>
            <w:numFmt w:val="chicago"/>
            <w:numRestart w:val="continuous"/>
            <w15:footnoteColumns w:val="1"/>
          </w:footnotePr>
          <w:pgSz w:w="8141" w:h="12533"/>
          <w:pgMar w:top="225" w:right="168" w:bottom="1082" w:left="1124" w:header="0" w:footer="3" w:gutter="0"/>
          <w:pgNumType w:start="93"/>
          <w:cols w:space="720"/>
          <w:noEndnote/>
          <w:titlePg/>
          <w:rtlGutter w:val="0"/>
          <w:docGrid w:linePitch="360"/>
        </w:sectPr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520" w:line="233" w:lineRule="auto"/>
        <w:ind w:left="580" w:right="0" w:firstLine="20"/>
        <w:jc w:val="both"/>
      </w:pPr>
      <w:r>
        <w:drawing>
          <wp:anchor distT="0" distB="0" distL="114300" distR="114300" simplePos="0" relativeHeight="125829403" behindDoc="0" locked="0" layoutInCell="1" allowOverlap="1">
            <wp:simplePos x="0" y="0"/>
            <wp:positionH relativeFrom="page">
              <wp:posOffset>6350</wp:posOffset>
            </wp:positionH>
            <wp:positionV relativeFrom="margin">
              <wp:posOffset>80645</wp:posOffset>
            </wp:positionV>
            <wp:extent cx="469265" cy="7668895"/>
            <wp:wrapSquare wrapText="bothSides"/>
            <wp:docPr id="240" name="Shape 24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" name="Picture box 241"/>
                    <pic:cNvPicPr/>
                  </pic:nvPicPr>
                  <pic:blipFill>
                    <a:blip r:embed="rId168"/>
                    <a:stretch/>
                  </pic:blipFill>
                  <pic:spPr>
                    <a:xfrm>
                      <a:ext cx="469265" cy="7668895"/>
                    </a:xfrm>
                    <a:prstGeom prst="rect"/>
                  </pic:spPr>
                </pic:pic>
              </a:graphicData>
            </a:graphic>
          </wp:anchor>
        </w:drawing>
      </w:r>
      <w:bookmarkStart w:id="45" w:name="bookmark45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нистагм), переходящей (часто без латентного периода) в разгар заболевания. На фоне быстро развивающегося агранулоцитоза отмечаются все «классические» признаки инфекционно-токси</w:t>
        <w:softHyphen/>
        <w:t>ческого синдрома ОЛБ: лихорадка, бактериемия, септицемия, радиационно-токсическая энцефалопатия, мозговая, печеноч</w:t>
        <w:softHyphen/>
        <w:t>ная и почечная кома. Прогноз в этом случае крайне неблагопри</w:t>
        <w:softHyphen/>
        <w:t>ятный, хотя и не безнадежный. Дозы облучения порядка 8—10 Гр и выше, как правило, приводят к летальному исходу, несмотря на проводимую терапию.</w:t>
      </w:r>
      <w:bookmarkEnd w:id="45"/>
    </w:p>
    <w:p>
      <w:pPr>
        <w:pStyle w:val="Style44"/>
        <w:keepNext/>
        <w:keepLines/>
        <w:widowControl w:val="0"/>
        <w:numPr>
          <w:ilvl w:val="1"/>
          <w:numId w:val="59"/>
        </w:numPr>
        <w:shd w:val="clear" w:color="auto" w:fill="auto"/>
        <w:tabs>
          <w:tab w:pos="433" w:val="left"/>
        </w:tabs>
        <w:bidi w:val="0"/>
        <w:spacing w:before="0" w:after="260" w:line="233" w:lineRule="auto"/>
        <w:ind w:left="0" w:right="0" w:firstLine="0"/>
        <w:jc w:val="center"/>
      </w:pPr>
      <w:bookmarkStart w:id="46" w:name="bookmark46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КИШЕЧНАЯ ФОРМА ОСТРОЙ ЛУЧЕВОЙ БОЛЕЗНИ</w:t>
      </w:r>
      <w:bookmarkEnd w:id="46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6" w:lineRule="auto"/>
        <w:ind w:left="580" w:right="0" w:firstLine="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После общего облучения в дозах 10—20 Гр развивается кишечная форма ОЛБ. В основе ее патогенеза лежит лучевое поражение слизистой оболочки тонкого кишечника, приводящее к разви</w:t>
        <w:softHyphen/>
        <w:t xml:space="preserve">тию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кишечного синдрома.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58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Эпителий слизистой оболочки тонкой кишки является прин</w:t>
        <w:softHyphen/>
        <w:t>ципиально такой же системой клеточного самообновления, как и костный мозг. Но если в костном мозге клетки разной степени созревания располагаются без видимого порядка, в слизистой оболочке кишечника взаимное расположение клеток, относя</w:t>
        <w:softHyphen/>
        <w:t>щихся к разным пулам, четко разграничено.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58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 дне крипт находятся стволовые клетки. По мере деления стволовых клеток и последующего их созревания клетки продви</w:t>
        <w:softHyphen/>
        <w:t>гаются по направлению к устью крипт и далее по стенке ворсин</w:t>
        <w:softHyphen/>
        <w:t>ки к ее верхушке, откуда слущиваются в просвет кишки. Утрата клеток с ворсинок сбалансирована притоком вновь образован</w:t>
        <w:softHyphen/>
        <w:t>ных клеток из крипт. Продвижение клетки от дна крипты до верхушки ворсинки занимает около 4—5 суток.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33" w:lineRule="auto"/>
        <w:ind w:left="58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 и в других системах клеточного самообновления, в эпи</w:t>
        <w:softHyphen/>
        <w:t>телии тонкой кишки после облучения погибают прежде всего стволовые и другие делящиеся клетки. Созревающие и функци</w:t>
        <w:softHyphen/>
        <w:t>ональные клетки, будучи относительно радиорезистентными, после облучения продолжают продвижение к верхушкам ворси</w:t>
        <w:softHyphen/>
        <w:t>нок и слущиваются. Вследствие этого эпителиальная выстилка тонкой кишки при отсутствии пополнения за счет клеточного деления быстро исчезает, ворсинки «оголяются» и уплощаются (рис. 17).</w:t>
      </w:r>
      <w:r>
        <w:br w:type="page"/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4498975" cy="4944110"/>
            <wp:docPr id="242" name="Picutre 24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" name="Picture 242"/>
                    <pic:cNvPicPr/>
                  </pic:nvPicPr>
                  <pic:blipFill>
                    <a:blip r:embed="rId170"/>
                    <a:stretch/>
                  </pic:blipFill>
                  <pic:spPr>
                    <a:xfrm>
                      <a:ext cx="4498975" cy="49441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8"/>
        <w:keepNext w:val="0"/>
        <w:keepLines w:val="0"/>
        <w:widowControl w:val="0"/>
        <w:shd w:val="clear" w:color="auto" w:fill="auto"/>
        <w:bidi w:val="0"/>
        <w:spacing w:before="0" w:after="0" w:line="266" w:lineRule="auto"/>
        <w:ind w:left="0" w:right="0" w:firstLine="0"/>
        <w:jc w:val="center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Рис. 17.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Влияние облучения на ворсинку слизистой оболочки тонкой кишки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(по В. Г. Владимирову, 1991):</w:t>
      </w:r>
    </w:p>
    <w:p>
      <w:pPr>
        <w:pStyle w:val="Style48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1 — нормальная ворсинка; 2 — постлучевая аплазия ворсинки (отсутствуют клетки крипты); 3 — оголение ворсинки, появление клеток крипт и регенерация кишечного эпителия; а — эпителиальная клетка;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 —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бокаловидная клетка; в — клетка крипты</w:t>
      </w:r>
    </w:p>
    <w:p>
      <w:pPr>
        <w:widowControl w:val="0"/>
        <w:spacing w:after="259" w:line="1" w:lineRule="exact"/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0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type w:val="continuous"/>
          <w:pgSz w:w="8141" w:h="12533"/>
          <w:pgMar w:top="225" w:right="168" w:bottom="1082" w:left="112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Стволовые энтероциты тонкого кишечника менее чувствитель</w:t>
        <w:softHyphen/>
        <w:t>ны к у- и рентгеновскому облучению, чем стволовые кроветвор</w:t>
        <w:softHyphen/>
        <w:t>ные клетки, вследствие более высокой активности в них систем внутриклеточной репарации повреждений ДНК. Поэтому опас</w:t>
        <w:softHyphen/>
        <w:t xml:space="preserve">ное для жизни повреждение эпителия тонкой кишки происходит при более высоких дозах (порядка 10 Гр), чем дозы, достаточные для глубокого повреждения костного мозга (4—5 Гр). В случаях, 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когда доза общего облучения достигает величины, при которой повреждение тонкой кишки становится несовместимым с сохра</w:t>
        <w:softHyphen/>
        <w:t>нением жизни организма, патологический процесс развивается очень быстро, и уже к концу 3—5-х суток происходит полная де</w:t>
        <w:softHyphen/>
        <w:t>нудация слизистой оболочки. Если в ранние сроки не наступит смертельного исхода, сохранившиеся стволовые клетки эпите</w:t>
        <w:softHyphen/>
        <w:t>лия тонкой кишки обеспечивают его быструю регенерацию, вос</w:t>
        <w:softHyphen/>
        <w:t>становление структуры и функции кишечной стенки. Однако в этот период формируется несовместимая с жизнью панцитопе</w:t>
        <w:softHyphen/>
        <w:t>ния в крови, и облученный человек погибает.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58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Другие отделы желудочно-кишечного тракта менее радио</w:t>
        <w:softHyphen/>
        <w:t>чувствительны, чем тонкая кишка, и их повреждение при общем облучении чаще всего не имеет самостоятельного значения. Од</w:t>
        <w:softHyphen/>
        <w:t>нако и в этих отделах после общего облучения могут наблюдать</w:t>
        <w:softHyphen/>
        <w:t>ся эрозии, изъязвления, местные некрозы вплоть до перфорации кишечной стенки. Чаще всего возникновение этих проявлений связано с развитием вторичной инфекции и геморрагий как про</w:t>
        <w:softHyphen/>
        <w:t>явлений костномозгового синдрома.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58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Наиболее важным следствием денудации тонкой кишки яв</w:t>
        <w:softHyphen/>
        <w:t>ляется прекращение всасывания из ее просвета воды и электро</w:t>
        <w:softHyphen/>
        <w:t>литов, в частности натрия. Эти компоненты поступают в кишку не только алиментарным путем; большое количество воды и на</w:t>
        <w:softHyphen/>
        <w:t>трия содержится в пищеварительных соках, в частности в желчи. В здоровом организме они реабсорбируются из кишки, а при оголении слизистой оболочки удаляются с испражнениями. Вследствие этого развиваются дегидратация и потеря натрия, достигающие при тяжелом кишечном синдроме таких масшта</w:t>
        <w:softHyphen/>
        <w:t>бов, которые сами по себе могут привести к гибели.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58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Еще одним следствием денудации тонкой кишки является существенное нарушение переваривающей функции и всасыва</w:t>
        <w:softHyphen/>
        <w:t>ния продуктов пищеварения, что приводит к быстрому форми</w:t>
        <w:softHyphen/>
        <w:t>рованию кахексии. Кроме того, из-за нарушения барьерной функции кишечной стенки во внутреннюю среду поступают токсичные продукты, в частности эндотоксины кишечной па</w:t>
        <w:softHyphen/>
        <w:t>лочки. Их количество также может оказаться несовместимым с жизнью. По этой же причине во внутренние среды организма проникает кишечная микрофлора. Микробной инвазии и раз</w:t>
        <w:softHyphen/>
        <w:t>множению микробов во внутренних органах способствует разви</w:t>
        <w:softHyphen/>
        <w:t>вающаяся одновременно с этим гранулоцитопения.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580" w:right="0"/>
        <w:jc w:val="both"/>
        <w:sectPr>
          <w:headerReference w:type="default" r:id="rId172"/>
          <w:footerReference w:type="default" r:id="rId173"/>
          <w:headerReference w:type="even" r:id="rId174"/>
          <w:footerReference w:type="even" r:id="rId175"/>
          <w:footnotePr>
            <w:pos w:val="pageBottom"/>
            <w:numFmt w:val="chicago"/>
            <w:numRestart w:val="continuous"/>
            <w15:footnoteColumns w:val="1"/>
          </w:footnotePr>
          <w:pgSz w:w="8141" w:h="12533"/>
          <w:pgMar w:top="225" w:right="168" w:bottom="1082" w:left="1124" w:header="0" w:footer="3" w:gutter="0"/>
          <w:pgNumType w:start="94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достаточной выраженности перечисленные процессы приводят к гибели облученного организма в течение 5-8 дней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560" w:right="0" w:firstLine="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(если не предпринимаются попытки лечения). Поскольку пол</w:t>
        <w:softHyphen/>
        <w:t>ное исчезновение эпителиальной выстилки тонкой кишки про</w:t>
        <w:softHyphen/>
        <w:t>исходит уже при облучении в дозе 10 Гр, а именно с этим явле</w:t>
        <w:softHyphen/>
        <w:t>нием связаны механизмы танатогенеза после облучения в дозах 10—20 Гр, сроки гибели с увеличением дозы в данном диапазоне практически не меняются. При дозах ниже 10 Гр проявления ки</w:t>
        <w:softHyphen/>
        <w:t>шечного синдрома менее выражены и не всегда летальны.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56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клинической картине кишечной формы ОЛБ обычно мож</w:t>
        <w:softHyphen/>
        <w:t>но выделить несколько периодов, в целом соответствующих тем, которые описывались при костномозговой форме.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560" w:right="0"/>
        <w:jc w:val="both"/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Начальный период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отличается большей тяжестью проявлений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и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большей длительностью тех симптомов, которые наблюдаются и при костномозговой форме: тошноты, рвоты, анорексии, про</w:t>
        <w:softHyphen/>
        <w:t>грессирующей общей слабости, которую иногда характеризуют как нарастающую летаргию, гиподинамии. При этом рвота при</w:t>
        <w:softHyphen/>
        <w:t>нимает характер многократной и неукротимой. Уже в ранние сроки на первый план начинают выступать симптомы пораже</w:t>
        <w:softHyphen/>
        <w:t>ния кишечника (ранний первичный лучевой гастроэнтероко</w:t>
        <w:softHyphen/>
        <w:t>лит): появляются сильные боли в животе, мучительные тенезмы, развивается профузная диарея, иногда парез желудка и кишеч</w:t>
        <w:softHyphen/>
        <w:t>ника, снижается артериальное давление (иногда развивается коллаптоидное состояние). Весьма выражена и длительно сохра</w:t>
        <w:softHyphen/>
        <w:t>няется ранняя эритема, проявляющаяся гиперемией кожи и сли</w:t>
        <w:softHyphen/>
        <w:t>зистых оболочек. Температура тела в начальном периоде повы</w:t>
        <w:softHyphen/>
        <w:t>шается до фебрильных цифр, больные жалуются на боли в живо</w:t>
        <w:softHyphen/>
        <w:t>те, миалгии, артралгии, головные боли.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56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Комплекс неотложной помощи при таких состояниях скла</w:t>
        <w:softHyphen/>
        <w:t>дывается в основном из средств борьбы с рвотой, диареей и обезвоживанием организма, а также из препаратов, поддержива</w:t>
        <w:softHyphen/>
        <w:t>ющих функцию сердечно-сосудистой системы.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56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противорвотной терапии целесообразно комбинирован</w:t>
        <w:softHyphen/>
        <w:t xml:space="preserve">ное введение антиэметиков различных классов, например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лат</w:t>
        <w:softHyphen/>
        <w:t>рана (зофрана), дексаметазона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фенобарбитала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латрана, ме</w:t>
        <w:softHyphen/>
        <w:t>токлопрамида, дексаметазона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лоразепама.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56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купирования диареи используют метацин, лоперамид и дипидолор.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560" w:right="0"/>
        <w:jc w:val="both"/>
        <w:sectPr>
          <w:headerReference w:type="default" r:id="rId176"/>
          <w:footerReference w:type="default" r:id="rId177"/>
          <w:headerReference w:type="even" r:id="rId178"/>
          <w:footerReference w:type="even" r:id="rId179"/>
          <w:footnotePr>
            <w:pos w:val="pageBottom"/>
            <w:numFmt w:val="chicago"/>
            <w:numRestart w:val="continuous"/>
            <w15:footnoteColumns w:val="1"/>
          </w:footnotePr>
          <w:pgSz w:w="8141" w:h="12533"/>
          <w:pgMar w:top="1234" w:right="739" w:bottom="1096" w:left="552" w:header="806" w:footer="3" w:gutter="0"/>
          <w:cols w:space="720"/>
          <w:noEndnote/>
          <w:rtlGutter w:val="0"/>
          <w:docGrid w:linePitch="360"/>
        </w:sectPr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Метацин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обладает периферическим м-холинолитическим действием, превосходящим атропин и спазмолитик. Для купи</w:t>
        <w:softHyphen/>
        <w:t>рования постлучевой диареи препарат вводится внутримышечно в виде 0,5—2 мл 0,1% раствора.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Лоперамид (имодиум)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обладает выраженным ингибирующим действием на диарею различной, в том числе и лучевой, этиоло</w:t>
        <w:softHyphen/>
        <w:t>гии. Препарат принимают в дозе 4 мг (2 капсулы).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Дипидолор (пиритрамид)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для купирования диареи вводят внутримышечно в дозе 15 мг (2 мл 0,75% раствора). При необ</w:t>
        <w:softHyphen/>
        <w:t>ходимости через 2—3 ч проводят повторное введение препарата в уменьшенной дозе (5—10 мг).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крайне тяжелых случаях, сопровождающихся профузным поносом, признаками обезвоживания организма и гипонатрие</w:t>
        <w:softHyphen/>
        <w:t xml:space="preserve">мии, целесообразно внутривенное введение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10% раствора хлори</w:t>
        <w:softHyphen/>
        <w:t>да натрия, физиологического раствора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или 5%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раствора глюкозы.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 целью дезинтоксикации показаны также трансфузии низко</w:t>
        <w:softHyphen/>
        <w:t xml:space="preserve">молекулярного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поливинилпирролидона, полиглюкина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реополи- глюкина.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При сердечно-сосудистой недостаточности используют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мезатон, норадреналин, коргликон, строфантин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др.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Продолжительность начального периода (первичной реак</w:t>
        <w:softHyphen/>
        <w:t>ции) при кишечной форме ОЛБ составляет 2—3 суток. Затем мо</w:t>
        <w:softHyphen/>
        <w:t xml:space="preserve">жет наступить кратковременное, не более 2—3 суток, улучшение общего состояния (эквивалент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скрытого периода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ОЛБ), однако проявления заболевания в этом случае полностью не исчезают.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Наступление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периода разгара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кишечной формы ОЛБ прояв</w:t>
        <w:softHyphen/>
        <w:t>ляется резким ухудшением общего состояния, развитием диа</w:t>
        <w:softHyphen/>
        <w:t>реи, повышением температуры тела до 39—40° С. Снова резко снижается аппетит. В результате атонии желудка пищевые массы могут надолго в нем задерживаться. Нарушаются процессы вса</w:t>
        <w:softHyphen/>
        <w:t>сывания в кишечнике, масса тела начинает быстро снижаться. Количество лейкоцитов в крови катастрофически падает. Разви</w:t>
        <w:softHyphen/>
        <w:t>ваются тяжелые проявления орофарингеального синдрома, обез</w:t>
        <w:softHyphen/>
        <w:t>воживания, интоксикации и эндогенной инфекции, которой способствует раннее наступление агранулоцитоза. Появляющие</w:t>
        <w:softHyphen/>
        <w:t>ся в слизистой оболочке кишечника геморрагии и инфекцион</w:t>
        <w:softHyphen/>
        <w:t>ные осложнения еще в большей степени отягощают состояние пораженных.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условии специализированного лечения пораженные с кишечной формой ОЛБ могут прожить до 2—2,5 недель. Гибель пациентов наступает при явлениях энтерита, пареза и непрохо</w:t>
        <w:softHyphen/>
        <w:t>димости кишечника, нарушений водно-электролитного обмена, нарастания сердечно-сосудистой недостаточности. Смертельно</w:t>
        <w:softHyphen/>
        <w:t>му исходу обычно предшествует развитие сопора и комы.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  <w:sectPr>
          <w:headerReference w:type="default" r:id="rId180"/>
          <w:footerReference w:type="default" r:id="rId181"/>
          <w:headerReference w:type="even" r:id="rId182"/>
          <w:footerReference w:type="even" r:id="rId183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94" w:right="546" w:bottom="324" w:left="1567" w:header="0" w:footer="3" w:gutter="0"/>
          <w:pgNumType w:start="97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SB</w:t>
      </w:r>
    </w:p>
    <w:p>
      <w:pPr>
        <w:pStyle w:val="Style8"/>
        <w:keepNext w:val="0"/>
        <w:keepLines w:val="0"/>
        <w:widowControl w:val="0"/>
        <w:shd w:val="clear" w:color="auto" w:fill="auto"/>
        <w:tabs>
          <w:tab w:leader="hyphen" w:pos="2554" w:val="left"/>
          <w:tab w:leader="hyphen" w:pos="2646" w:val="left"/>
          <w:tab w:leader="hyphen" w:pos="4454" w:val="left"/>
        </w:tabs>
        <w:bidi w:val="0"/>
        <w:spacing w:before="0" w:after="600" w:line="240" w:lineRule="auto"/>
        <w:ind w:left="0" w:right="0" w:firstLine="0"/>
        <w:jc w:val="left"/>
        <w:rPr>
          <w:sz w:val="19"/>
          <w:szCs w:val="19"/>
        </w:rPr>
      </w:pPr>
      <w:r>
        <w:rPr>
          <w:spacing w:val="0"/>
          <w:w w:val="100"/>
          <w:position w:val="0"/>
          <w:sz w:val="19"/>
          <w:szCs w:val="19"/>
          <w:shd w:val="clear" w:color="auto" w:fill="auto"/>
          <w:lang w:val="ru-RU" w:eastAsia="ru-RU" w:bidi="ru-RU"/>
        </w:rPr>
        <w:t>’</w:t>
      </w:r>
      <w:r>
        <w:rPr>
          <w:spacing w:val="0"/>
          <w:w w:val="100"/>
          <w:position w:val="0"/>
          <w:sz w:val="19"/>
          <w:szCs w:val="19"/>
          <w:shd w:val="clear" w:color="auto" w:fill="auto"/>
          <w:lang w:val="en-US" w:eastAsia="en-US" w:bidi="en-US"/>
        </w:rPr>
        <w:tab/>
        <w:tab/>
        <w:tab/>
      </w:r>
    </w:p>
    <w:p>
      <w:pPr>
        <w:pStyle w:val="Style44"/>
        <w:keepNext/>
        <w:keepLines/>
        <w:widowControl w:val="0"/>
        <w:numPr>
          <w:ilvl w:val="1"/>
          <w:numId w:val="59"/>
        </w:numPr>
        <w:shd w:val="clear" w:color="auto" w:fill="auto"/>
        <w:tabs>
          <w:tab w:pos="1118" w:val="left"/>
        </w:tabs>
        <w:bidi w:val="0"/>
        <w:spacing w:before="0" w:line="240" w:lineRule="auto"/>
        <w:ind w:left="0" w:right="0" w:firstLine="680"/>
        <w:jc w:val="both"/>
      </w:pPr>
      <w:bookmarkStart w:id="48" w:name="bookmark48"/>
      <w:bookmarkStart w:id="49" w:name="bookmark49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ТОКСЕМИЧЕСКАЯ ФОРМА ОСТРОЙ ЛУЧЕВОЙ БОЛЕЗНИ</w:t>
      </w:r>
      <w:bookmarkEnd w:id="49"/>
      <w:bookmarkEnd w:id="48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400" w:right="0" w:firstLine="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Токсемическая форма ОЛБ развивается после облучения в дозах от 20 до 50 Гр. Для этой формы характерны тяжелые гемодина</w:t>
        <w:softHyphen/>
        <w:t>мические расстройства, связанные с парезом и повышением проницаемости сосудов, проявления общей интоксикации как следствие проникновения во внутреннюю среду продуктов рас</w:t>
        <w:softHyphen/>
        <w:t>пада тканей, первичных и вторичных радиотоксинов, эндоток</w:t>
        <w:softHyphen/>
        <w:t>синов кишечной микрофлоры.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40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Токсемия обусловливает нарушения мозгового кровообра</w:t>
        <w:softHyphen/>
        <w:t>щения и отек мозга, прогрессирующие признаки которого на</w:t>
        <w:softHyphen/>
        <w:t>блюдаются вплоть до смертельного исхода. Нарушения функций нервных центров при этой форме ОЛБ в значительной мере обу</w:t>
        <w:softHyphen/>
        <w:t>словлены, соответственно, токсемией, а также снижением пита</w:t>
        <w:softHyphen/>
        <w:t>ния и снабжения кислородом нервных клеток вследствие рас</w:t>
        <w:softHyphen/>
        <w:t>стройства гемо- и ликвородинамики в головном мозге, повыше</w:t>
        <w:softHyphen/>
        <w:t>ния проницаемости сосудов гематоэнцефалического барьера и проникновения в межклеточные пространства богатой белком жидкости, механически сдавливающей, помимо всего прочего, нервные клетки. В связи со значимостью расстройств циркуля</w:t>
        <w:softHyphen/>
        <w:t>ции в развитии токсемической формы ОЛБ ее называют еще со</w:t>
        <w:softHyphen/>
        <w:t>судистой.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520" w:line="240" w:lineRule="auto"/>
        <w:ind w:left="400" w:right="0" w:firstLine="320"/>
        <w:jc w:val="both"/>
      </w:pPr>
      <w:bookmarkStart w:id="51" w:name="bookmark51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Медицинская помощь при токсемической форме ОЛБ вклю</w:t>
        <w:softHyphen/>
        <w:t>чает лишь симптоматическую терапию, направленную прежде всего на купирование болевого синдрома, коррекцию водно</w:t>
        <w:softHyphen/>
        <w:t>электролитного баланса и т. п. Несмотря на проводимые лечеб</w:t>
        <w:softHyphen/>
        <w:t>ные мероприятия, смерть пострадавших наступает, как правило, на 4—7-е сутки после облучения от отека головного мозга.</w:t>
      </w:r>
      <w:bookmarkEnd w:id="51"/>
    </w:p>
    <w:p>
      <w:pPr>
        <w:pStyle w:val="Style44"/>
        <w:keepNext/>
        <w:keepLines/>
        <w:widowControl w:val="0"/>
        <w:numPr>
          <w:ilvl w:val="1"/>
          <w:numId w:val="59"/>
        </w:numPr>
        <w:shd w:val="clear" w:color="auto" w:fill="auto"/>
        <w:tabs>
          <w:tab w:pos="1218" w:val="left"/>
        </w:tabs>
        <w:bidi w:val="0"/>
        <w:spacing w:before="0" w:line="240" w:lineRule="auto"/>
        <w:ind w:left="0" w:right="0" w:firstLine="780"/>
        <w:jc w:val="both"/>
      </w:pPr>
      <w:bookmarkStart w:id="52" w:name="bookmark52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ЦЕРЕБРАЛЬНАЯ ФОРМА ОСТРОЙ ЛУЧЕВОЙ БОЛЕЗНИ</w:t>
      </w:r>
      <w:bookmarkEnd w:id="52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380" w:line="240" w:lineRule="auto"/>
        <w:ind w:left="400" w:right="0" w:firstLine="2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7219" w:h="12355"/>
          <w:pgMar w:top="173" w:right="437" w:bottom="792" w:left="10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общем облучении в дозах свыше 50 Гр развивается церебра</w:t>
        <w:softHyphen/>
        <w:t>льная форма ОЛБ. В основе развития нарушений, определяю</w:t>
        <w:softHyphen/>
        <w:t>щих клиническую картину поражения организма после облуче</w:t>
        <w:softHyphen/>
        <w:t>ния в дозах более 50 Гр, лежат нарушения функций центральной нервной системы. При таком уровне доз даже в высокорадиоре- зистентных нервных клетках количество повреждений становит</w:t>
        <w:softHyphen/>
        <w:t>ся несовместимым с их нормальным функционированием.</w:t>
      </w:r>
    </w:p>
    <w:p>
      <w:pPr>
        <w:widowControl w:val="0"/>
        <w:spacing w:line="1" w:lineRule="exact"/>
      </w:pPr>
      <w:r>
        <w:drawing>
          <wp:anchor distT="0" distB="0" distL="114300" distR="114300" simplePos="0" relativeHeight="125829404" behindDoc="0" locked="0" layoutInCell="1" allowOverlap="1">
            <wp:simplePos x="0" y="0"/>
            <wp:positionH relativeFrom="page">
              <wp:posOffset>156845</wp:posOffset>
            </wp:positionH>
            <wp:positionV relativeFrom="paragraph">
              <wp:posOffset>311150</wp:posOffset>
            </wp:positionV>
            <wp:extent cx="433070" cy="6754495"/>
            <wp:wrapSquare wrapText="bothSides"/>
            <wp:docPr id="253" name="Shape 25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" name="Picture box 254"/>
                    <pic:cNvPicPr/>
                  </pic:nvPicPr>
                  <pic:blipFill>
                    <a:blip r:embed="rId184"/>
                    <a:stretch/>
                  </pic:blipFill>
                  <pic:spPr>
                    <a:xfrm>
                      <a:ext cx="433070" cy="675449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отличие от кроветворной ткани и кишечного эпителия клетки центральной нервной системы (ЦНС) неспособны к са</w:t>
        <w:softHyphen/>
        <w:t>мообновлению. Чрезвычайно высокие резервы реактивности мозга на повреждающие воздействия, в том числе и облучение, обусловлены преимущественно функциональными механизма</w:t>
        <w:softHyphen/>
        <w:t>ми, т. е. активацией или ингибированием уже существующих, а не вновь образованных структур, клеток и тканей. Все это про</w:t>
        <w:softHyphen/>
        <w:t>является в изменениях морфологической структуры клеток, ак</w:t>
        <w:softHyphen/>
        <w:t>тивности ферментов и нейротрансмиттеров на фоне изменений микроциркуляции в различных зонах мозга.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Нервные клетки отвечают функциональными реакциями на воздействие даже малых доз облучения. На функции нервной системы могут повлиять и обильная патологическая афферент</w:t>
        <w:softHyphen/>
        <w:t>ная импульсация из поврежденных радиочувствительных тка</w:t>
        <w:softHyphen/>
        <w:t>ней, и токсические эффекты продуктов клеточного распада, эн</w:t>
        <w:softHyphen/>
        <w:t>дотоксинов, проникающих во внутреннюю среду из кишки, и т. п. В ходе лучевой болезни выявляются изменения биоэлектри</w:t>
        <w:softHyphen/>
        <w:t>ческой активности коры головного мозга, в эксперименте реги</w:t>
        <w:softHyphen/>
        <w:t>стрируются расстройства условно-рефлекторной деятельности, особенно резко выраженные в терминальном периоде. Рас</w:t>
        <w:softHyphen/>
        <w:t>стройства нервной системы могут проявляться как непосредст</w:t>
        <w:softHyphen/>
        <w:t>венными клиническими симптомами (как, например, при луче</w:t>
        <w:softHyphen/>
        <w:t>вом ЦНС-синдроме или при первичной реакции на облучение), так и нарушениями регуляции вегетативных функций, процес</w:t>
        <w:softHyphen/>
        <w:t>сов восстановления поврежденных тканей.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Патогенез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церебрального лучевого синдрома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связан как с пря</w:t>
        <w:softHyphen/>
        <w:t>мым радиационным поражением нервных клеток, так и с нару</w:t>
        <w:softHyphen/>
        <w:t>шениями гемо- и ликвородинамики в головном мозге. Важней</w:t>
        <w:softHyphen/>
        <w:t>шую роль в нарушении функции, а в последующем и структуры нейронов и нейроглии играют нарушения биоэнергетических процессов и клеточных мембран.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40" w:line="230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облучении в дозах свыше 50 Гр в нейронах формируются многочисленные повреждения ядерного хроматина, что вызывает гиперактивацию системы ферментов репарации ДНК. ДНК- лигазная реакция сопровождается гидролизом АТФ, а реакция, катализируемая аденозиндифосфорибозилтрансферазой, приво</w:t>
        <w:softHyphen/>
        <w:t>дит к быстрому и глубокому истощению внутриклеточного пула НАД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+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. Зависимые от этого кофермента реакции гликолиза и клеточного дыхания оказываются заторможенными, вследствие чего происходит нарушение ресинтеза АТФ. Продолжительный дефицит АТФ глубоко и необратимо влияет на клетки коры го-</w:t>
      </w:r>
    </w:p>
    <w:p>
      <w:pPr>
        <w:pStyle w:val="Style8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  <w:rPr>
          <w:sz w:val="19"/>
          <w:szCs w:val="19"/>
        </w:rPr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578" w:right="401" w:bottom="0" w:left="174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19"/>
          <w:szCs w:val="19"/>
          <w:shd w:val="clear" w:color="auto" w:fill="auto"/>
          <w:lang w:val="en-US" w:eastAsia="en-US" w:bidi="en-US"/>
        </w:rPr>
        <w:t>SS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ловного мозга, отличающиеся крайне высокой потребностью в энергии, и в конечном итоге приводит к их гибели.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Причиной нарушения состояния клеточных мембран при церебральном лучевом синдроме является повреждение их ли</w:t>
        <w:softHyphen/>
        <w:t>попротеидной структуры, обусловленное прямым и косвенным действием радиации. Эти нарушения сопровождаются дезинте</w:t>
        <w:softHyphen/>
        <w:t>грационными изменениями функционирования основных цент</w:t>
        <w:softHyphen/>
        <w:t>ральных нейромедиаторных систем, системы циклических нук</w:t>
        <w:softHyphen/>
        <w:t>леотидов и синаптического аппарата в целом.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Нарушения регионарной микроциркуляции обусловлены пря</w:t>
        <w:softHyphen/>
        <w:t>мым действием продуктов свободно-радикального окисления на эндотелий сосудов, вследствие чего повышается проницаемость гематоэнцефалического барьера. В совокупности с развиваю</w:t>
        <w:softHyphen/>
        <w:t>щейся гипоксией эти изменения приводят к быстрому развитию периваскулярного, а затем и перицеллюлярного отека, наруше</w:t>
        <w:softHyphen/>
        <w:t>нию витальных функций головного мозга и летальному исходу.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Повреждение нервных клеток и кровеносных сосудов при</w:t>
        <w:softHyphen/>
        <w:t>водит к тому, что почти сразу же после облучения развивается тяжелое общее состояние, характеризующееся обильной рво</w:t>
        <w:softHyphen/>
        <w:t xml:space="preserve">той, поносом, прострацией, а в ряде случаев временной, на 20—40 мин, потерей сознания —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синдром ранней преходящей недееспособности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(РПН-синдром). Наиболее вероятно его раз</w:t>
        <w:softHyphen/>
        <w:t>витие при импульсном (особенно нейтронном) облучении с вы</w:t>
        <w:softHyphen/>
        <w:t>сокой (более 10—15 Гр/мин) мощностью дозы. В дальнейшем сознание может восстановиться, но развиваются прогрессирую</w:t>
        <w:softHyphen/>
        <w:t>щие признаки отека мозга, психомоторное возбуждение, атак</w:t>
        <w:softHyphen/>
        <w:t>сия, дезориентация, гиперкинезы, клонические и тонические судороги, расстройства дыхания, сосудистого тонуса, кома. В связи с небольшой продолжительностью жизни пораженных с церебральной формой ОЛБ в периферической крови успевает обнаружиться лишь нейтрофильный лейкоцитоз, достигающий уровня 20—30х 10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9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/л уже в первые часы после облучения, и глу</w:t>
        <w:softHyphen/>
        <w:t>бокая лимфопения.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320"/>
        <w:jc w:val="both"/>
        <w:sectPr>
          <w:headerReference w:type="default" r:id="rId186"/>
          <w:footerReference w:type="default" r:id="rId187"/>
          <w:headerReference w:type="even" r:id="rId188"/>
          <w:footerReference w:type="even" r:id="rId189"/>
          <w:footnotePr>
            <w:pos w:val="pageBottom"/>
            <w:numFmt w:val="chicago"/>
            <w:numRestart w:val="continuous"/>
            <w15:footnoteColumns w:val="1"/>
          </w:footnotePr>
          <w:pgSz w:w="7618" w:h="12288"/>
          <w:pgMar w:top="1162" w:right="595" w:bottom="943" w:left="758" w:header="734" w:footer="3" w:gutter="0"/>
          <w:pgNumType w:start="99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профилактики РПН-синдрома возможно применение ингибиторов АДФ-рибозилирования, к числу которых относит</w:t>
        <w:softHyphen/>
        <w:t xml:space="preserve">ся ретроингибитор (конечный продукт) этого процесса —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нико</w:t>
        <w:softHyphen/>
        <w:t>тинамид,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его структурные аналоги и их производные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(бензамид, 3-аминобензамид, алкил-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ацил-аминобензамиды),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а также произ</w:t>
        <w:softHyphen/>
        <w:t xml:space="preserve">водные пурина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(аденин, кофеин, теофиллин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др.). Для достиже</w:t>
        <w:softHyphen/>
        <w:t xml:space="preserve">ния эффекта эти вещества должны применяться в дозах не менее 10 мг/кг массы тела. В частности, прием препарата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никотинамид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 целью профилактики развития РПН-синдрома рекомендован в дозе 500 мг (10 таблеток по 0,05 мг).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 сожалению, прием этих препаратов, хотя и предотвращает временную утрату дееспособности, в конечном итоге не позво</w:t>
        <w:softHyphen/>
        <w:t>ляет спасти жизнь облученного в высоких дозах человека. При развитии церебральной формы ОЛБ пострадавшим проводят лишь симптоматическую терапию, направленную в основном на облегчение страданий (анальгетики, противорвотные, антидиа- рейные и противосудорожные средства).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52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Смерть пострадавших обычно наступает в течение не более чем 48 ч после облучения от паралича дыхательного центра.</w:t>
      </w:r>
    </w:p>
    <w:p>
      <w:pPr>
        <w:pStyle w:val="Style44"/>
        <w:keepNext/>
        <w:keepLines/>
        <w:widowControl w:val="0"/>
        <w:numPr>
          <w:ilvl w:val="1"/>
          <w:numId w:val="59"/>
        </w:numPr>
        <w:shd w:val="clear" w:color="auto" w:fill="auto"/>
        <w:tabs>
          <w:tab w:pos="433" w:val="left"/>
        </w:tabs>
        <w:bidi w:val="0"/>
        <w:spacing w:before="0" w:after="40" w:line="228" w:lineRule="auto"/>
        <w:ind w:left="0" w:right="0" w:firstLine="0"/>
        <w:jc w:val="center"/>
      </w:pPr>
      <w:bookmarkStart w:id="54" w:name="bookmark54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РАДИАЦИОННЫЕ ПОРАЖЕНИЯ</w:t>
      </w:r>
      <w:bookmarkEnd w:id="54"/>
    </w:p>
    <w:p>
      <w:pPr>
        <w:pStyle w:val="Style44"/>
        <w:keepNext/>
        <w:keepLines/>
        <w:widowControl w:val="0"/>
        <w:shd w:val="clear" w:color="auto" w:fill="auto"/>
        <w:bidi w:val="0"/>
        <w:spacing w:before="0" w:after="260" w:line="228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ВНЕШНЕМ НЕРАВНОМЕРНОМ ОБЛУЧЕНИИ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4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зависимости от вида излучения, расстояния до его источника, других геометрических и физических параметров радиационного воздействия величины перепада дозы по телу человека могут ва</w:t>
        <w:softHyphen/>
        <w:t>рьировать от крайне малых (например, относительно равномер</w:t>
        <w:softHyphen/>
        <w:t>ное у-облучение на следе радиоактивного облака) до весьма вы</w:t>
        <w:softHyphen/>
        <w:t xml:space="preserve">соких. Для характеристики перепада дозы по телу используется так называемый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>коэффициент неравномерности (К</w:t>
      </w:r>
      <w:r>
        <w:rPr>
          <w:b/>
          <w:bCs/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н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) —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отноше</w:t>
        <w:softHyphen/>
        <w:t>ние максимальной и минимальной величин доз, измеренных на поверхности тела. Если различия в распределении поглощенных по телу доз не превышают 10%, т. е. К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близок к 1, облучение считается равномерным. Все остальные виды внешнего радиа</w:t>
        <w:softHyphen/>
        <w:t>ционного воздействия представляют собой варианты неравно</w:t>
        <w:softHyphen/>
        <w:t>мерного облучения. Однако практически особенности клиники, диагностики и лечения поражений при неравномерном облуче</w:t>
        <w:softHyphen/>
        <w:t>нии проявляются при К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более 3-4 и дозе максимального воз</w:t>
        <w:softHyphen/>
        <w:t>действия более 10 Гр.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28" w:lineRule="auto"/>
        <w:ind w:left="0" w:right="0"/>
        <w:jc w:val="both"/>
        <w:sectPr>
          <w:headerReference w:type="default" r:id="rId190"/>
          <w:footerReference w:type="default" r:id="rId191"/>
          <w:headerReference w:type="even" r:id="rId192"/>
          <w:footerReference w:type="even" r:id="rId193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75" w:right="689" w:bottom="975" w:left="1448" w:header="547" w:footer="3" w:gutter="0"/>
          <w:pgNumType w:start="101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Различают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общее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(в поле действия радиации находится все тело),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субтотальное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(облучение порядка 50% площади тела),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парциальное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(облучение отдельных частей тела, например головы, области живота и т. д.)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местное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(отдельных органов или их час</w:t>
        <w:softHyphen/>
        <w:t xml:space="preserve">тей, а также отдельных анатомических образований)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неравномер</w:t>
        <w:softHyphen/>
        <w:t>ное внешнее облучение.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Характер клинических проявлений радиа</w:t>
        <w:softHyphen/>
        <w:t>ционного поражения при неравномерных воздействиях зависит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от геометрии облучения, степени его неравномерности и дозо</w:t>
        <w:softHyphen/>
        <w:t>вых нагрузок на радиочувствительные органы и ткани.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4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общем и субтотальном неравномерном облучении с не</w:t>
        <w:softHyphen/>
        <w:t>большими перепадами дозы картина лучевого поражения мало отличается от «классической» ОЛБ от внешнего равномерного радиационного воздействия. С ростом К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приближением к ва</w:t>
        <w:softHyphen/>
        <w:t>риантам крайне неравномерных или парциальных облучений все в большей мере проявляются особенности этого вида радиа</w:t>
        <w:softHyphen/>
        <w:t>ционных поражений:</w:t>
      </w:r>
    </w:p>
    <w:p>
      <w:pPr>
        <w:pStyle w:val="Style34"/>
        <w:keepNext w:val="0"/>
        <w:keepLines w:val="0"/>
        <w:widowControl w:val="0"/>
        <w:numPr>
          <w:ilvl w:val="0"/>
          <w:numId w:val="61"/>
        </w:numPr>
        <w:shd w:val="clear" w:color="auto" w:fill="auto"/>
        <w:tabs>
          <w:tab w:pos="558" w:val="left"/>
        </w:tabs>
        <w:bidi w:val="0"/>
        <w:spacing w:before="0" w:after="0" w:line="228" w:lineRule="auto"/>
        <w:ind w:left="0" w:right="0" w:firstLine="4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Снижение (в сравнении с равномерным воздействием) эф</w:t>
        <w:softHyphen/>
        <w:t>фективности биологического действия излучений на критиче</w:t>
        <w:softHyphen/>
        <w:t>ские системы организма, что проявляется в более легком тече</w:t>
        <w:softHyphen/>
        <w:t>нии ОЛБ, чем этого следовало бы ожидать исходя из значения дозы в наиболее облученной части тела (в частности, костномоз</w:t>
        <w:softHyphen/>
        <w:t>говой и кишечный синдромы развиваются при облучении в бо</w:t>
        <w:softHyphen/>
        <w:t>лее высоких дозах).</w:t>
      </w:r>
    </w:p>
    <w:p>
      <w:pPr>
        <w:pStyle w:val="Style34"/>
        <w:keepNext w:val="0"/>
        <w:keepLines w:val="0"/>
        <w:widowControl w:val="0"/>
        <w:numPr>
          <w:ilvl w:val="0"/>
          <w:numId w:val="61"/>
        </w:numPr>
        <w:shd w:val="clear" w:color="auto" w:fill="auto"/>
        <w:tabs>
          <w:tab w:pos="558" w:val="left"/>
        </w:tabs>
        <w:bidi w:val="0"/>
        <w:spacing w:before="0" w:after="0" w:line="228" w:lineRule="auto"/>
        <w:ind w:left="0" w:right="0" w:firstLine="4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Нарушение характерной для «классической» формы ОЛБ периодичности и временной зависимости основных ее прояв</w:t>
        <w:softHyphen/>
        <w:t>лений: сроки возникновения симптомов болезни будут опреде</w:t>
        <w:softHyphen/>
        <w:t>ляться (при прочих равных условиях) тем, какая область тела и какие органы подверглись наиболее сильному поражающему воздействию ионизирующих излучений.</w:t>
      </w:r>
    </w:p>
    <w:p>
      <w:pPr>
        <w:pStyle w:val="Style34"/>
        <w:keepNext w:val="0"/>
        <w:keepLines w:val="0"/>
        <w:widowControl w:val="0"/>
        <w:numPr>
          <w:ilvl w:val="0"/>
          <w:numId w:val="61"/>
        </w:numPr>
        <w:shd w:val="clear" w:color="auto" w:fill="auto"/>
        <w:tabs>
          <w:tab w:pos="558" w:val="left"/>
        </w:tabs>
        <w:bidi w:val="0"/>
        <w:spacing w:before="0" w:after="0" w:line="228" w:lineRule="auto"/>
        <w:ind w:left="0" w:right="0" w:firstLine="4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Преобладание в клинической картине заболевания симпто</w:t>
        <w:softHyphen/>
        <w:t>мов, отражающих нарушение функций органов и тканей, под</w:t>
        <w:softHyphen/>
        <w:t>вергшихся облучению в наибольшей степени. При этом в каче</w:t>
        <w:softHyphen/>
        <w:t>стве критических органов и систем (наряду с характерными для «классической» ОЛБ гемопоэтической, желудочно-кишечной и центральной нервной систем) могут выступать кожные покровы и слизистые оболочки ротоносоглотки, поражения которых бу</w:t>
        <w:softHyphen/>
        <w:t>дут проявляться в виде лучевого дерматита и орофарингеального синдрома. Поражение этих систем нередко определяет не только клиническую картину ОЛБ при неравномерном облучении, но и ее тяжесть и исход.</w:t>
      </w:r>
    </w:p>
    <w:p>
      <w:pPr>
        <w:pStyle w:val="Style34"/>
        <w:keepNext w:val="0"/>
        <w:keepLines w:val="0"/>
        <w:widowControl w:val="0"/>
        <w:numPr>
          <w:ilvl w:val="0"/>
          <w:numId w:val="61"/>
        </w:numPr>
        <w:shd w:val="clear" w:color="auto" w:fill="auto"/>
        <w:tabs>
          <w:tab w:pos="553" w:val="left"/>
        </w:tabs>
        <w:bidi w:val="0"/>
        <w:spacing w:before="0" w:after="0" w:line="228" w:lineRule="auto"/>
        <w:ind w:left="0" w:right="0" w:firstLine="400"/>
        <w:jc w:val="both"/>
        <w:sectPr>
          <w:headerReference w:type="default" r:id="rId194"/>
          <w:footerReference w:type="default" r:id="rId195"/>
          <w:headerReference w:type="even" r:id="rId196"/>
          <w:footerReference w:type="even" r:id="rId197"/>
          <w:footnotePr>
            <w:pos w:val="pageBottom"/>
            <w:numFmt w:val="chicago"/>
            <w:numRestart w:val="continuous"/>
            <w15:footnoteColumns w:val="1"/>
          </w:footnotePr>
          <w:pgSz w:w="7358" w:h="12298"/>
          <w:pgMar w:top="1291" w:right="672" w:bottom="822" w:left="350" w:header="863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Возможность развития у одного и того же пораженного не</w:t>
        <w:softHyphen/>
        <w:t>скольких радиационных синдромов. Например, при поражении кожи и мягких тканей конечностей и слизистой оболочки ки</w:t>
        <w:softHyphen/>
        <w:t>шечника будут проявляться признаки местного лучевого пора</w:t>
        <w:softHyphen/>
        <w:t>жения и кишечного синдрома, при кранио-каудальном облуче</w:t>
        <w:softHyphen/>
        <w:t>нии — кроветворного и орофарингеального синдромов, при каудо-краниальном облучении — кроветворного и кишечного синдромов и т. д.</w:t>
      </w:r>
    </w:p>
    <w:p>
      <w:pPr>
        <w:pStyle w:val="Style34"/>
        <w:keepNext w:val="0"/>
        <w:keepLines w:val="0"/>
        <w:widowControl w:val="0"/>
        <w:numPr>
          <w:ilvl w:val="0"/>
          <w:numId w:val="63"/>
        </w:numPr>
        <w:shd w:val="clear" w:color="auto" w:fill="auto"/>
        <w:tabs>
          <w:tab w:pos="553" w:val="left"/>
        </w:tabs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Уменьшение с ростом К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вклада кроветворного синдрома в суммарное поражение и, соответственно, возрастание роли в тя</w:t>
        <w:softHyphen/>
        <w:t>жести и исходе ОЛБ орофарингеального и кишечного синдро</w:t>
        <w:softHyphen/>
        <w:t>мов и признаков лучевого поражения кожных покровов. Так, при кранио-каудальных воздействиях с перепадом дозы более 5 ведущим является орофарингеальный синдром, при облучении области живота или каудо-краниальных воздействиях — кишеч</w:t>
        <w:softHyphen/>
        <w:t>ный синдром. При дальнейшем увеличении степени неравно</w:t>
        <w:softHyphen/>
        <w:t>мерности вдоль поперечной оси тела (К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&gt;10), особенно при со</w:t>
        <w:softHyphen/>
        <w:t>четанных у-р-воздействиях, в качестве ведущих поражений будут выступать лучевые ожоги обширных участков кожи.</w:t>
      </w:r>
    </w:p>
    <w:p>
      <w:pPr>
        <w:pStyle w:val="Style34"/>
        <w:keepNext w:val="0"/>
        <w:keepLines w:val="0"/>
        <w:widowControl w:val="0"/>
        <w:numPr>
          <w:ilvl w:val="0"/>
          <w:numId w:val="63"/>
        </w:numPr>
        <w:shd w:val="clear" w:color="auto" w:fill="auto"/>
        <w:tabs>
          <w:tab w:pos="562" w:val="left"/>
        </w:tabs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Модификация клинического течения костномозгового и кишечного синдромов. В условиях неравномерного облучения депрессия кроветворения менее значительна, а темпы восста</w:t>
        <w:softHyphen/>
        <w:t>новления гемопоэза более высоки, чем при равномерном воз</w:t>
        <w:softHyphen/>
        <w:t>действии. Это происходит за счет включения в процесс регене</w:t>
        <w:softHyphen/>
        <w:t>рации костномозгового резерва из малооблученных участков гемопоэтической ткани. Течение кишечного синдрома в сравне</w:t>
        <w:softHyphen/>
        <w:t>нии с общим равномерным облучением в сопоставимых дозах также более благоприятно, как в связи с неравномерным харак</w:t>
        <w:softHyphen/>
        <w:t>тером поражения слизистой оболочки кишечника, так и за счет сохранившегося резерва стволовых кроветворных клеток.</w:t>
      </w:r>
    </w:p>
    <w:p>
      <w:pPr>
        <w:pStyle w:val="Style34"/>
        <w:keepNext w:val="0"/>
        <w:keepLines w:val="0"/>
        <w:widowControl w:val="0"/>
        <w:numPr>
          <w:ilvl w:val="0"/>
          <w:numId w:val="63"/>
        </w:numPr>
        <w:shd w:val="clear" w:color="auto" w:fill="auto"/>
        <w:tabs>
          <w:tab w:pos="553" w:val="left"/>
        </w:tabs>
        <w:bidi w:val="0"/>
        <w:spacing w:before="0" w:after="50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Нарушение зависимости (особенно при К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&gt; 10) между числом лейкоцитов в крови и клеточностью костного мозга, с одной стороны, и тяжестью лучевого поражения (исходом болез</w:t>
        <w:softHyphen/>
        <w:t>ни), с другой, а также снижение диагностической значимости отдельных симптомов первичной реакции на облучение.</w:t>
      </w:r>
    </w:p>
    <w:p>
      <w:pPr>
        <w:pStyle w:val="Style44"/>
        <w:keepNext/>
        <w:keepLines/>
        <w:widowControl w:val="0"/>
        <w:numPr>
          <w:ilvl w:val="1"/>
          <w:numId w:val="65"/>
        </w:numPr>
        <w:shd w:val="clear" w:color="auto" w:fill="auto"/>
        <w:tabs>
          <w:tab w:pos="462" w:val="left"/>
        </w:tabs>
        <w:bidi w:val="0"/>
        <w:spacing w:before="0" w:after="200" w:line="276" w:lineRule="auto"/>
        <w:ind w:left="0" w:right="0" w:firstLine="0"/>
        <w:jc w:val="center"/>
      </w:pPr>
      <w:bookmarkStart w:id="57" w:name="bookmark57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ОСОБЕННОСТИ РАДИАЦИОННЫХ ПОРАЖЕНИЙ</w:t>
        <w:br/>
        <w:t>ПРИ ВОЗДЕЙСТВИИ НЕЙТРОНОВ</w:t>
      </w:r>
      <w:bookmarkEnd w:id="57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воздействии на организм нейтронов формируется острая лучевая болезнь с выраженной неравномерностью облучения.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00" w:line="230" w:lineRule="auto"/>
        <w:ind w:left="0" w:right="0"/>
        <w:jc w:val="both"/>
        <w:sectPr>
          <w:headerReference w:type="default" r:id="rId198"/>
          <w:footerReference w:type="default" r:id="rId199"/>
          <w:headerReference w:type="even" r:id="rId200"/>
          <w:footerReference w:type="even" r:id="rId201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45" w:right="516" w:bottom="945" w:left="1634" w:header="517" w:footer="3" w:gutter="0"/>
          <w:pgNumType w:start="10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Обусловлено это тем, что проникающая способность нейтро</w:t>
        <w:softHyphen/>
        <w:t>нов по сравнению с рентгеновскими и у-лучами меньше и, про</w:t>
        <w:softHyphen/>
        <w:t>ходя через тело человека, нейтроны сильно теряют свою энер</w:t>
        <w:softHyphen/>
        <w:t>гию уже в вышележащих тканях. Следствием этого является крайняя неравномерность облучения, обусловленная как разли</w:t>
        <w:softHyphen/>
        <w:t>чиями в поглощенной дозе для разнородных по химическому со-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ставу тканей, расположенных на одинаковой глубине, так и су</w:t>
        <w:softHyphen/>
        <w:t>щественным уменьшением дозовой нагрузки вдоль поперечной оси тела. В зависимости от энергии нейтронов коэффициент пе</w:t>
        <w:softHyphen/>
        <w:t>репада тканевых доз может колебаться от 10 до 100. Это связано с тем, что мягкие ткани организма характеризуются весьма вы</w:t>
        <w:softHyphen/>
        <w:t>сокой способностью поглощать энергию нейтронного излуче</w:t>
        <w:softHyphen/>
        <w:t>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 другой стороны, на молекулярном и клеточном уровне нейтроны, характеризующиеся высокой Л ПЭ, обладают значи</w:t>
        <w:softHyphen/>
        <w:t>тельно более выраженным повреждающим действием по сравне</w:t>
        <w:softHyphen/>
        <w:t>нию с у-излучением: они вызывают более тяжелые повреждения ДНК, мукополисахаридов, гемопоэтических клеток, эпителиоци</w:t>
        <w:softHyphen/>
        <w:t>тов кишечника и т. д. В результате общее количество поврежде</w:t>
        <w:softHyphen/>
        <w:t>ний в единице объема ткани при воздействии нейтронов может быть более значительным, а нарушения структур биомолекул бо</w:t>
        <w:softHyphen/>
        <w:t>лее существенными, чем при облучении у- или рентгеновскими лучами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footnoteReference w:id="7"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. Вследствие этого на клеточном уровне репарация по</w:t>
        <w:softHyphen/>
        <w:t>вреждений, индуцированных воздействием нейтронов, происхо</w:t>
        <w:softHyphen/>
        <w:t>дит гораздо хуже, чем вызванных рентгеновскими и у-лучами.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Результатом такого действия нейтронов (меньшая репариру- емость нейтронных поражений на клеточном уровне, но боль</w:t>
        <w:softHyphen/>
        <w:t>шая неравномерность облучения на тканевом и организменном уровне) является клинически более тяжелое течение основных синдромов заболевания при более благоприятном прогнозе, т. е. снижении общей тяжести поражения организма в сравнении с соответствующей по степени тяжести ОЛБ, вызванной у-излуче- нием.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Поэтому при воздействии нейтронов сильнее поражается эпителий тонкого кишечника, радиорезистентность которого в сравнении с кроветворной тканью в значительной мере связана с большей способностью к репарации сублетальных поврежде</w:t>
        <w:softHyphen/>
        <w:t>ний клеток. Кроветворная же система поражается меньше, чем при такой же поглощенной дозе у-излучения, что объясняется ускорением процесса восстановления кроветворной ткани за счет миграции клеток из менее облученных ее участков.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  <w:sectPr>
          <w:headerReference w:type="default" r:id="rId202"/>
          <w:footerReference w:type="default" r:id="rId203"/>
          <w:headerReference w:type="even" r:id="rId204"/>
          <w:footerReference w:type="even" r:id="rId205"/>
          <w:footnotePr>
            <w:pos w:val="pageBottom"/>
            <w:numFmt w:val="chicago"/>
            <w:numRestart w:val="continuous"/>
            <w15:footnoteColumns w:val="1"/>
          </w:footnotePr>
          <w:pgSz w:w="7651" w:h="12283"/>
          <w:pgMar w:top="1200" w:right="691" w:bottom="890" w:left="67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 этим же причинам серьезные повреждения тонкой кишки развиваются даже при несмертельных дозах нейтронного облу-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чения организма. При нейтронном облучении клинические про</w:t>
        <w:softHyphen/>
        <w:t>явления кишечного синдрома (рвота, диарея, боли в области жи</w:t>
        <w:softHyphen/>
        <w:t>вота) выражены более ярко, в тяжелых случаях — с обширными кровоизлияниями в брыжейку, нарушением барьерной функции кишечника и водно-электролитного баланса. Тем не менее в от</w:t>
        <w:softHyphen/>
        <w:t>личие от «классического» кишечного синдрома наблюдаемая при нейтронном облучении симптоматика не всегда служит про</w:t>
        <w:softHyphen/>
        <w:t>гностически неблагоприятным признаком как из-за наличия ре</w:t>
        <w:softHyphen/>
        <w:t>зервов кроветворения в малооблученных участках костного моз</w:t>
        <w:softHyphen/>
        <w:t>га, так и вследствие неравномерного характера облучения самих петель тонкого кишечника. В отличие от случаев у-облучения комплексное лечение кишечного синдрома может привести в дальнейшем к выздоровлению.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 другим особенностям ОЛБ от воздействия нейтронов отно</w:t>
        <w:softHyphen/>
        <w:t>сятся:</w:t>
      </w:r>
    </w:p>
    <w:p>
      <w:pPr>
        <w:pStyle w:val="Style34"/>
        <w:keepNext w:val="0"/>
        <w:keepLines w:val="0"/>
        <w:widowControl w:val="0"/>
        <w:numPr>
          <w:ilvl w:val="0"/>
          <w:numId w:val="67"/>
        </w:numPr>
        <w:shd w:val="clear" w:color="auto" w:fill="auto"/>
        <w:tabs>
          <w:tab w:pos="562" w:val="left"/>
        </w:tabs>
        <w:bidi w:val="0"/>
        <w:spacing w:before="0" w:after="0" w:line="228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большая выраженность первичной реакции на облучение (возможны случаи возникновения повторной рвоты и ран</w:t>
        <w:softHyphen/>
        <w:t>ней диареи) и РПН-синдрома;</w:t>
      </w:r>
    </w:p>
    <w:p>
      <w:pPr>
        <w:pStyle w:val="Style34"/>
        <w:keepNext w:val="0"/>
        <w:keepLines w:val="0"/>
        <w:widowControl w:val="0"/>
        <w:numPr>
          <w:ilvl w:val="0"/>
          <w:numId w:val="67"/>
        </w:numPr>
        <w:shd w:val="clear" w:color="auto" w:fill="auto"/>
        <w:tabs>
          <w:tab w:pos="562" w:val="left"/>
        </w:tabs>
        <w:bidi w:val="0"/>
        <w:spacing w:before="0" w:after="0" w:line="228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большая глубина лимфопении в период первичной реакции на облучение;</w:t>
      </w:r>
    </w:p>
    <w:p>
      <w:pPr>
        <w:pStyle w:val="Style34"/>
        <w:keepNext w:val="0"/>
        <w:keepLines w:val="0"/>
        <w:widowControl w:val="0"/>
        <w:numPr>
          <w:ilvl w:val="0"/>
          <w:numId w:val="67"/>
        </w:numPr>
        <w:shd w:val="clear" w:color="auto" w:fill="auto"/>
        <w:tabs>
          <w:tab w:pos="562" w:val="left"/>
        </w:tabs>
        <w:bidi w:val="0"/>
        <w:spacing w:before="0" w:after="0" w:line="228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более короткие сроки развивается агранулоцитоз, что приводит к сокращению сроков латентного периода и бо</w:t>
        <w:softHyphen/>
        <w:t>лее раннему появлению клинических признаков разгара ОЛБ — инфекционных осложнений и геморрагического синдрома;</w:t>
      </w:r>
    </w:p>
    <w:p>
      <w:pPr>
        <w:pStyle w:val="Style34"/>
        <w:keepNext w:val="0"/>
        <w:keepLines w:val="0"/>
        <w:widowControl w:val="0"/>
        <w:numPr>
          <w:ilvl w:val="0"/>
          <w:numId w:val="67"/>
        </w:numPr>
        <w:shd w:val="clear" w:color="auto" w:fill="auto"/>
        <w:tabs>
          <w:tab w:pos="562" w:val="left"/>
        </w:tabs>
        <w:bidi w:val="0"/>
        <w:spacing w:before="0" w:after="0" w:line="228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более выраженная кровоточивость, как следствие прямого повреждения нейтронами стенки сосудов;</w:t>
      </w:r>
    </w:p>
    <w:p>
      <w:pPr>
        <w:pStyle w:val="Style34"/>
        <w:keepNext w:val="0"/>
        <w:keepLines w:val="0"/>
        <w:widowControl w:val="0"/>
        <w:numPr>
          <w:ilvl w:val="0"/>
          <w:numId w:val="67"/>
        </w:numPr>
        <w:shd w:val="clear" w:color="auto" w:fill="auto"/>
        <w:tabs>
          <w:tab w:pos="562" w:val="left"/>
        </w:tabs>
        <w:bidi w:val="0"/>
        <w:spacing w:before="0" w:after="0" w:line="228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признаки более тяжелого повреждения органов и тканей на стороне тела, обращенной к источнику излучения;</w:t>
      </w:r>
    </w:p>
    <w:p>
      <w:pPr>
        <w:pStyle w:val="Style34"/>
        <w:keepNext w:val="0"/>
        <w:keepLines w:val="0"/>
        <w:widowControl w:val="0"/>
        <w:numPr>
          <w:ilvl w:val="0"/>
          <w:numId w:val="67"/>
        </w:numPr>
        <w:shd w:val="clear" w:color="auto" w:fill="auto"/>
        <w:tabs>
          <w:tab w:pos="562" w:val="left"/>
        </w:tabs>
        <w:bidi w:val="0"/>
        <w:spacing w:before="0" w:after="0" w:line="228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высокая вероятность развития местных поражений слизи</w:t>
        <w:softHyphen/>
        <w:t>стых оболочек и кожных покровов (орофарингеальный синдром и радиационный дерматит);</w:t>
      </w:r>
    </w:p>
    <w:p>
      <w:pPr>
        <w:pStyle w:val="Style34"/>
        <w:keepNext w:val="0"/>
        <w:keepLines w:val="0"/>
        <w:widowControl w:val="0"/>
        <w:numPr>
          <w:ilvl w:val="0"/>
          <w:numId w:val="67"/>
        </w:numPr>
        <w:shd w:val="clear" w:color="auto" w:fill="auto"/>
        <w:tabs>
          <w:tab w:pos="566" w:val="left"/>
        </w:tabs>
        <w:bidi w:val="0"/>
        <w:spacing w:before="0" w:after="0" w:line="228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чаще наблюдаются случаи тяжелых отдаленных последст</w:t>
        <w:softHyphen/>
        <w:t>вий (катаракты, опухоли, генетические дефекты);</w:t>
      </w:r>
    </w:p>
    <w:p>
      <w:pPr>
        <w:pStyle w:val="Style34"/>
        <w:keepNext w:val="0"/>
        <w:keepLines w:val="0"/>
        <w:widowControl w:val="0"/>
        <w:numPr>
          <w:ilvl w:val="0"/>
          <w:numId w:val="67"/>
        </w:numPr>
        <w:shd w:val="clear" w:color="auto" w:fill="auto"/>
        <w:tabs>
          <w:tab w:pos="562" w:val="left"/>
        </w:tabs>
        <w:bidi w:val="0"/>
        <w:spacing w:before="0" w:after="0" w:line="228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более раннее восстановление гемопоэза вследствие сохра</w:t>
        <w:softHyphen/>
        <w:t>нения участков неповрежденного костного мозга.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32" w:right="444" w:bottom="932" w:left="170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Эти особенности необходимо учитывать при диагностике и лечении радиационных поражений, вызванных нейтронами.</w:t>
      </w:r>
    </w:p>
    <w:p>
      <w:pPr>
        <w:pStyle w:val="Style34"/>
        <w:keepNext w:val="0"/>
        <w:keepLines w:val="0"/>
        <w:widowControl w:val="0"/>
        <w:numPr>
          <w:ilvl w:val="1"/>
          <w:numId w:val="65"/>
        </w:numPr>
        <w:shd w:val="clear" w:color="auto" w:fill="auto"/>
        <w:tabs>
          <w:tab w:pos="433" w:val="left"/>
        </w:tabs>
        <w:bidi w:val="0"/>
        <w:spacing w:before="0" w:after="200" w:line="276" w:lineRule="auto"/>
        <w:ind w:left="0" w:right="0" w:firstLine="0"/>
        <w:jc w:val="center"/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>ОБЩИЕ ПРИНЦИПЫ ЛЕЧЕНИЯ ЛУЧЕВЫХ ПОРАЖЕНИЙ,</w:t>
        <w:br/>
        <w:t>ВОЗНИКАЮЩИХ В РЕЗУЛЬТАТЕ ВНЕШНЕГО ОБЩЕГО</w:t>
        <w:br/>
        <w:t>(ТОТАЛЬНОГО) ОБЛУЧЕНИЯ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Объем и содержание лечебных мероприятий при ОЛБ сущест</w:t>
        <w:softHyphen/>
        <w:t>венно различаются в зависимости от степени тяжести и формы лучевой болезни. В свою очередь, клиническая форма ОЛБ и тя</w:t>
        <w:softHyphen/>
        <w:t>жесть проявлений ее синдромов зависят прежде всего от величи</w:t>
        <w:softHyphen/>
        <w:t>ны и распределения поглощенных доз, которые формируются мощностью излучения, временем воздействия и геометрией об</w:t>
        <w:softHyphen/>
        <w:t>лучения. В каждом конкретном случае они могут значительно различаться даже среди пораженных из одного очага. В связи с этим важен дифференцированный подход к определению необ</w:t>
        <w:softHyphen/>
        <w:t>ходимого объема медицинской помощи для каждого пациента и (или) для выделенной группы больных, имеющих сходные дозо</w:t>
        <w:softHyphen/>
        <w:t>вые нагрузки и схожую клиническую картину ОЛБ.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Одним из условий, определяющих успешность лечения, явля</w:t>
        <w:softHyphen/>
        <w:t>ется правильное проведение медицинской сортировки. Медицин</w:t>
        <w:softHyphen/>
        <w:t>ская сортировка при массовых радиационных поражениях (при</w:t>
        <w:softHyphen/>
        <w:t>менение ядерного оружия, масштабные радиационные аварии и пр.) по времени выполнения мероприятий, их характеру и персо</w:t>
        <w:softHyphen/>
        <w:t>налу, их выполняющему, условно подразделяется на два этапа.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ходе первого этапа по проявлениям первичной реакции на облучение и первичным данным дозиметрической службы выяв</w:t>
        <w:softHyphen/>
        <w:t>ляются лица, подлежащие эвакуации, и выполняется их эвакуа</w:t>
        <w:softHyphen/>
        <w:t>ция из зоны аварии. Экстренная эвакуация выполняется в по</w:t>
        <w:softHyphen/>
        <w:t>рядке оказания само- и взаимопомощи самими пострадавшими или персоналом аварийно-спасательных формирований и завер</w:t>
        <w:softHyphen/>
        <w:t>шается размещением пораженных в зоне временной эвакуации. На этом же этапе выполняются мероприятия первой медицин</w:t>
        <w:softHyphen/>
        <w:t>ской помощи по жизненным показаниям, например: устранение угрозы асфиксии при тяжелой (неукротимой) рвоте, остановка кровотечений или купирование болевого шока при комбиниро</w:t>
        <w:softHyphen/>
        <w:t>ванных радиационных поражениях, проведение санитарной об</w:t>
        <w:softHyphen/>
        <w:t>работки при загрязнении кожных покровов и слизистых оболо</w:t>
        <w:softHyphen/>
        <w:t>чек радионуклидами и т. д.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13" w:right="1001" w:bottom="813" w:left="111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Второй этап медицинской сортировки выполняется в ходе оказания первой врачебной помощи. На этом этапе уточняется диагноз ОЛБ, определяется очередность оказания медицинской помощи и эвакуации в специализированные стационары (фор-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мируются эвакуационные потоки). Здесь выделяются три груп</w:t>
        <w:softHyphen/>
        <w:t>пы пораженных с симптомами острого лучевого воздействия:</w:t>
      </w:r>
    </w:p>
    <w:p>
      <w:pPr>
        <w:pStyle w:val="Style34"/>
        <w:keepNext w:val="0"/>
        <w:keepLines w:val="0"/>
        <w:widowControl w:val="0"/>
        <w:numPr>
          <w:ilvl w:val="0"/>
          <w:numId w:val="69"/>
        </w:numPr>
        <w:shd w:val="clear" w:color="auto" w:fill="auto"/>
        <w:tabs>
          <w:tab w:pos="566" w:val="left"/>
        </w:tabs>
        <w:bidi w:val="0"/>
        <w:spacing w:before="0" w:after="0" w:line="226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лица с минимальными признаками лучевого поражения; для этой группы развитие ОЛБ маловероятно, они нужда</w:t>
        <w:softHyphen/>
        <w:t>ются в амбулаторном наблюдении, а при необходимости могут выполнять неотложные аварийные работы;</w:t>
      </w:r>
    </w:p>
    <w:p>
      <w:pPr>
        <w:pStyle w:val="Style34"/>
        <w:keepNext w:val="0"/>
        <w:keepLines w:val="0"/>
        <w:widowControl w:val="0"/>
        <w:numPr>
          <w:ilvl w:val="0"/>
          <w:numId w:val="69"/>
        </w:numPr>
        <w:shd w:val="clear" w:color="auto" w:fill="auto"/>
        <w:tabs>
          <w:tab w:pos="562" w:val="left"/>
        </w:tabs>
        <w:bidi w:val="0"/>
        <w:spacing w:before="0" w:after="0" w:line="228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пострадавшие с проявлениями первичной реакции на облу</w:t>
        <w:softHyphen/>
        <w:t>чение крайне тяжелой степени, развившимися в первый час после облучения, с признаками коллаптоидного состо</w:t>
        <w:softHyphen/>
        <w:t>яния и другими симптомами, требующими немедленного проведения медицинских мероприятий по жизненным по</w:t>
        <w:softHyphen/>
        <w:t>казаниям; данная группа нуждается в безусловной госпита</w:t>
        <w:softHyphen/>
        <w:t>лизации, им проводится симптоматическая терапия, во</w:t>
        <w:softHyphen/>
        <w:t>прос об эвакуации решается индивидуально;</w:t>
      </w:r>
    </w:p>
    <w:p>
      <w:pPr>
        <w:pStyle w:val="Style34"/>
        <w:keepNext w:val="0"/>
        <w:keepLines w:val="0"/>
        <w:widowControl w:val="0"/>
        <w:numPr>
          <w:ilvl w:val="0"/>
          <w:numId w:val="69"/>
        </w:numPr>
        <w:shd w:val="clear" w:color="auto" w:fill="auto"/>
        <w:tabs>
          <w:tab w:pos="562" w:val="left"/>
        </w:tabs>
        <w:bidi w:val="0"/>
        <w:spacing w:before="0" w:after="0" w:line="228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лица с явными признаками острого лучевого поражения (облучение в дозе свыше 2 Гр), находящиеся в удовлетвори</w:t>
        <w:softHyphen/>
        <w:t>тельном состоянии или состоянии средней тяжести; после купирования проявлений первичной реакции на облучение и стабилизации гемодинамических показателей эти пора</w:t>
        <w:softHyphen/>
        <w:t>женные являются транспортабельными и должны быть на</w:t>
        <w:softHyphen/>
        <w:t>правлены на лечение в специализированный стационар (желательно в первые сутки после облучения).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специализированном стационаре пострадавших группиру</w:t>
        <w:softHyphen/>
        <w:t>ют по предполагаемой степени тяжести ОЛБ, что позволяет ма</w:t>
        <w:softHyphen/>
        <w:t>неврировать персоналом и средствами для оказания необходи</w:t>
        <w:softHyphen/>
        <w:t>мой помощи именно тем пациентам, которые более всего в ней нуждаются. Формирование групп проводят по данным о выра</w:t>
        <w:softHyphen/>
        <w:t>женности первичной реакции на облучение, времени возникно</w:t>
        <w:softHyphen/>
        <w:t>вения и полноте клинической картины основных синдромов пе</w:t>
        <w:softHyphen/>
        <w:t>риода разгара, а также по продолжающемуся уточнению доз ме</w:t>
        <w:softHyphen/>
        <w:t>тодами физической и биологической дозиметрии.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Больные ОЛБ легкой степени тяжести после купирования сим</w:t>
        <w:softHyphen/>
        <w:t>птомов первичной реакции на облучение на протяжении скрытого периода должны находиться под врачебным наблюдением.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65" w:right="403" w:bottom="865" w:left="174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Пострадавшие с ОЛБ средней, тяжелой и крайне тяжелой степени уже на первой неделе должны быть помещены в асеп</w:t>
        <w:softHyphen/>
        <w:t>тические условия — в идеале в палату с НЕРА-фильтром возду</w:t>
        <w:softHyphen/>
        <w:t xml:space="preserve">ха. Им в течение первых 48 ч должна быть начата селективная деконтаминация хинолоном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ципрофлоксацином (цифраном)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по 100 мг в сутки или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моксифлоксацином (авелоксом)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по 800 мг в сут</w:t>
        <w:softHyphen/>
        <w:t>ки. Если пострадавшие с ОЛБ помещаются в отделение гемато-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логии, где периодически наблюдается инвазивный аспергиллез, то необходимо начать раннее применение фунгистатика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интра- коназола (орунгала)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растворе для приема внутрь или в капсулах в дозе 5 мг/кг массы тела в сутки.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ОЛБ тяжелой и крайне тяжелой степени в силу ранней и глубокой депрессии лимфоцитов в течение первых 3 суток необ</w:t>
        <w:softHyphen/>
        <w:t xml:space="preserve">ходимо начать введение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ацикловира (зовиракса, виролекса)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внутрь или внутривенно в дозе 10 мг/кг массы тела в сутки. При появле</w:t>
        <w:softHyphen/>
        <w:t>нии герпеса переходят исключительно на парентеральное введе</w:t>
        <w:softHyphen/>
        <w:t xml:space="preserve">ние ацикловира в дозе 20—30 мг/кг (в зависимости от тяжести проявлений герпеса). При ожидаемом тяжелом костномозговом синдроме уже в течение первой недели пострадавшим начинают внутривенно вводить препараты человеческого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иммуноглобулина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(например,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октагам)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дозе 0,5 г/кг массы тела. Иммуноглобу</w:t>
        <w:softHyphen/>
        <w:t>лин применяют каждые 72 ч вплоть до полного восстановления картины крови.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Сразу после верификации дозы облучения необходимо начать миелостимуляцию, направленную прежде всего на ускорение гра- нулоцитопоэза. При ОЛБ средней, тяжелой и крайне тяжелой степени это является оправданным вне зависимости от решения о необходимости трансплантации стволовых клеток. Миелости</w:t>
        <w:softHyphen/>
        <w:t>муляцию начинают с однократного подкожного введения ре</w:t>
        <w:softHyphen/>
        <w:t xml:space="preserve">комбинантного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интерлейкина-1 (беталейкина)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дозе 30 нг/кг массы тела, за которым следуют ежедневные подкожные введе</w:t>
        <w:softHyphen/>
        <w:t xml:space="preserve">ния препаратов Г-КСФ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(нейпоген)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или ГМ-КСФ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(лейкомакс)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дозе 10 мкг/кг массы тела. Применение цитокинов продолжается вплоть до восстановления уровня нейтрофилов до 1000 кл./мкл.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Дальнейшая терапия уже определяется клинической картиной болезни в период агранулоцитоза. Первый же эпизод лихорадки (температура более 38,0° С) на фоне агранулоцитоза диктует назначение антибиотика максимально широкого спектра дейст</w:t>
        <w:softHyphen/>
        <w:t xml:space="preserve">вия уже в ближайшие часы, который нельзя отменять вплоть до восстановления уровня нейтрофилов в периферической крови. Предпочтение отдается монотерапии карбопенемами —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мероне</w:t>
        <w:softHyphen/>
        <w:t>мом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имипенемом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максимальной дозе и только внутривенно по 6 и 4 г в сутки соответственно. Если лихорадка сохраняется в течение 48 ч или, прекратившись, возобновляется через некото</w:t>
        <w:softHyphen/>
        <w:t xml:space="preserve">рое время, в схему добавляют второй антибиотик —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ванкомицин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дозе 2 г в сутки или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линезолид (зивокс)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дозе 1,2 г в сутки.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70" w:right="893" w:bottom="831" w:left="121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Если на протяжении 72 ч, несмотря на введение двух анти</w:t>
        <w:softHyphen/>
        <w:t>биотиков, фебрильный статус сохраняется, в схему добавляют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эмпирическую противогрибковую терапию. Так же поступают, даже если нет температуры, но до восстановления картины кро</w:t>
        <w:softHyphen/>
        <w:t xml:space="preserve">ви появилась легочная симптоматика и (или) инфекционные очаги в легких. В качестве фунгистатиков широкого спектра действия могут быть использованы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амфотерицин (фунгизон)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вориконазол (вифенд)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дозе 400 мг в сутки. Предпочтение отдает</w:t>
        <w:softHyphen/>
        <w:t>ся вориконазолу, так как к моменту назначения противогрибко</w:t>
        <w:softHyphen/>
        <w:t>вого препарата пострадавший уже будет получать весьма нефро</w:t>
        <w:softHyphen/>
        <w:t>токсичные противовирусные препараты — ацикловир и хиноло</w:t>
        <w:softHyphen/>
        <w:t>ны, что будет затруднять длительное введение амфотерицина, также обладающего нефротоксическим действием.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После получения бактериологической информации схему антибиотикотерапии корректируют, исходя из данных о возбу</w:t>
        <w:softHyphen/>
        <w:t>дителе инфекции и его чувствительности к существующим анти</w:t>
        <w:softHyphen/>
        <w:t>биотикам.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ОЛБ тяжелой степени с первых дней заболевания боль</w:t>
        <w:softHyphen/>
        <w:t xml:space="preserve">ным предписывают постельный режим, переводят их на полное парентеральное питание и, наряду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с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применением средств, купи</w:t>
        <w:softHyphen/>
        <w:t>рующих проявления первичной реакции на облучение, поливита</w:t>
        <w:softHyphen/>
        <w:t>минов, антигистаминных веществ, проводят дезинтоксикацион- ную терапию, коррекцию водно-электролитного и кислотно-ще</w:t>
        <w:softHyphen/>
        <w:t>лочного баланса. Для снижения активности протеаз в первые дни применяют их ингибиторы, для профилактики ДВС-синдрома и улучшения микроциркуляции проводят инфузии свежезаморо</w:t>
        <w:softHyphen/>
        <w:t>женной плазмы и вводят гепарин. При ОЛБ крайне тяжелой сте</w:t>
        <w:softHyphen/>
        <w:t>пени уже в ранние сроки (3—5-е сутки) после облучения проводят процедуру трансплантации аллогенного костного мозга.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Больных с кишечной, токсемической и церебральной форма</w:t>
        <w:softHyphen/>
        <w:t>ми ОЛБ госпитализируют сразу после поражения. Им проводят симптоматическую и дезинтоксикационную терапию, вводят наркотические анальгетики.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Таким образом, основные принципы терапии ОЛБ от внеш</w:t>
        <w:softHyphen/>
        <w:t>него относительно равномерного облучения включают профи</w:t>
        <w:softHyphen/>
        <w:t>лактику и лечение инфекционных осложнений, геморрагиче</w:t>
        <w:softHyphen/>
        <w:t>ского синдрома, проявлений интоксикации, ДВС- и кишечного синдрома, применение одного или нескольких гемопоэтических ростовых факторов и, по показаниям, трансплантацию аллоген</w:t>
        <w:softHyphen/>
        <w:t xml:space="preserve">ного костного мозга от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HLA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-совместимых доноров.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Общая схема терапевтических мероприятий при лечении ОЛБ различной степени тяжести в период разгара болезни пред</w:t>
        <w:softHyphen/>
        <w:t>ставлена на рис. 18.</w:t>
      </w:r>
      <w:r>
        <w:br w:type="page"/>
      </w:r>
    </w:p>
    <w:tbl>
      <w:tblPr>
        <w:tblOverlap w:val="never"/>
        <w:jc w:val="center"/>
        <w:tblLayout w:type="fixed"/>
      </w:tblPr>
      <w:tblGrid>
        <w:gridCol w:w="341"/>
        <w:gridCol w:w="533"/>
        <w:gridCol w:w="533"/>
        <w:gridCol w:w="528"/>
        <w:gridCol w:w="538"/>
        <w:gridCol w:w="1694"/>
        <w:gridCol w:w="1690"/>
        <w:gridCol w:w="374"/>
      </w:tblGrid>
      <w:tr>
        <w:trPr>
          <w:trHeight w:val="898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gridSpan w:val="2"/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Терапия препаратами Г-КСФ (ГМ-КСФ)</w:t>
            </w:r>
          </w:p>
        </w:tc>
        <w:tc>
          <w:tcPr>
            <w:gridSpan w:val="3"/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1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Комбинированная комплексная терапия препаратами: ИЛ-3 и ГМ-КСФ (Г-КСФ)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</w:tr>
      <w:tr>
        <w:trPr>
          <w:trHeight w:val="1258" w:hRule="exact"/>
        </w:trPr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14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Трансплантация аллогенного костного мозга, идентичного по антигенам гистосовместимости системы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HLA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200" w:after="0" w:line="262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Экспериментальные методы терапии.</w:t>
            </w:r>
          </w:p>
        </w:tc>
        <w:tc>
          <w:tcPr>
            <w:tcBorders>
              <w:left w:val="single" w:sz="4"/>
              <w:righ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82" w:lineRule="exact"/>
              <w:ind w:left="0" w:right="0" w:firstLine="14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 X</w:t>
            </w:r>
          </w:p>
        </w:tc>
      </w:tr>
      <w:tr>
        <w:trPr>
          <w:trHeight w:val="878" w:hRule="exact"/>
        </w:trPr>
        <w:tc>
          <w:tcPr>
            <w:tcBorders>
              <w:left w:val="single" w:sz="4"/>
            </w:tcBorders>
            <w:shd w:val="clear" w:color="auto" w:fill="auto"/>
            <w:textDirection w:val="btLr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10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 менее 2 м&lt;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gridSpan w:val="2"/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Профилактика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аутоиммунных осложнений: иммунодепрессанты, стероиды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Симптоматическая терапия.</w:t>
            </w:r>
          </w:p>
        </w:tc>
        <w:tc>
          <w:tcPr>
            <w:vMerge w:val="restart"/>
            <w:tcBorders>
              <w:left w:val="single" w:sz="4"/>
              <w:right w:val="single" w:sz="4"/>
            </w:tcBorders>
            <w:shd w:val="clear" w:color="auto" w:fill="auto"/>
            <w:textDirection w:val="btLr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10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Наркотические анальге</w:t>
            </w:r>
          </w:p>
        </w:tc>
      </w:tr>
      <w:tr>
        <w:trPr>
          <w:trHeight w:val="931" w:hRule="exact"/>
        </w:trPr>
        <w:tc>
          <w:tcPr>
            <w:vMerge w:val="restart"/>
            <w:tcBorders>
              <w:left w:val="single" w:sz="4"/>
            </w:tcBorders>
            <w:shd w:val="clear" w:color="auto" w:fill="auto"/>
            <w:textDirection w:val="btLr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10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(амбулаторное) наблюдение н&lt;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gridSpan w:val="3"/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Аппаратная дезинтоксикация.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Профилактика ДВС-синдрома: инфузии свежезамороженной плазмы и гепарина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8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Заместительная терапия.</w:t>
            </w:r>
          </w:p>
        </w:tc>
        <w:tc>
          <w:tcPr>
            <w:vMerge/>
            <w:tcBorders>
              <w:left w:val="single" w:sz="4"/>
              <w:right w:val="single" w:sz="4"/>
            </w:tcBorders>
            <w:shd w:val="clear" w:color="auto" w:fill="auto"/>
            <w:textDirection w:val="btLr"/>
            <w:vAlign w:val="top"/>
          </w:tcPr>
          <w:p>
            <w:pPr/>
          </w:p>
        </w:tc>
      </w:tr>
      <w:tr>
        <w:trPr>
          <w:trHeight w:val="1430" w:hRule="exact"/>
        </w:trPr>
        <w:tc>
          <w:tcPr>
            <w:vMerge/>
            <w:tcBorders>
              <w:left w:val="single" w:sz="4"/>
            </w:tcBorders>
            <w:shd w:val="clear" w:color="auto" w:fill="auto"/>
            <w:textDirection w:val="btLr"/>
            <w:vAlign w:val="top"/>
          </w:tcPr>
          <w:p>
            <w:pPr/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gridSpan w:val="4"/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80" w:after="40" w:line="293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Полное парентеральное питание. Коррекция нарушений метаболизма, содержания электролитов, кислотно-щелочного баланса.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93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Дезинтоксикационная терапия.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93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Антиоксиданты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160" w:after="62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Противоинфекцион- ная терапия.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Дезинтоксикационная</w:t>
            </w:r>
          </w:p>
        </w:tc>
        <w:tc>
          <w:tcPr>
            <w:tcBorders>
              <w:left w:val="single" w:sz="4"/>
              <w:right w:val="single" w:sz="4"/>
            </w:tcBorders>
            <w:shd w:val="clear" w:color="auto" w:fill="auto"/>
            <w:textDirection w:val="btLr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10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этическая терапия</w:t>
            </w:r>
          </w:p>
        </w:tc>
      </w:tr>
      <w:tr>
        <w:trPr>
          <w:trHeight w:val="2198" w:hRule="exact"/>
        </w:trPr>
        <w:tc>
          <w:tcPr>
            <w:tcBorders>
              <w:left w:val="single" w:sz="4"/>
            </w:tcBorders>
            <w:shd w:val="clear" w:color="auto" w:fill="auto"/>
            <w:textDirection w:val="btLr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100" w:after="0" w:line="240" w:lineRule="auto"/>
              <w:ind w:left="136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Врачебное</w:t>
            </w:r>
          </w:p>
        </w:tc>
        <w:tc>
          <w:tcPr>
            <w:gridSpan w:val="5"/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69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Превентивное назначение антибиотиков широкого спектра действия, противогрибковых препаратов, противовирусных препаратов, иммуноглобулинов, стимуляторов иммунитета.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69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Миелостимуляция препаратами ИЛ-1(3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7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Лечение инфекционных и геморрагических осложнений миелодепрессии.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Адекватная заместительная терапия компонентами крови: инфузии лейкоцитарной, тромбоцитарной,эритроцитарной массы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62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терапия.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Наркотические анальгетики</w:t>
            </w:r>
          </w:p>
        </w:tc>
        <w:tc>
          <w:tcPr>
            <w:tcBorders>
              <w:left w:val="single" w:sz="4"/>
              <w:righ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80" w:after="0" w:line="168" w:lineRule="auto"/>
              <w:ind w:left="0" w:right="0" w:firstLine="14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 Ё 2 X О</w:t>
            </w:r>
          </w:p>
        </w:tc>
      </w:tr>
      <w:tr>
        <w:trPr>
          <w:trHeight w:val="298" w:hRule="exact"/>
        </w:trPr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gridSpan w:val="6"/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Изоляция в асептический бокс, энтеральная стерилизация</w:t>
            </w:r>
          </w:p>
        </w:tc>
        <w:tc>
          <w:tcPr>
            <w:tcBorders>
              <w:left w:val="single" w:sz="4"/>
              <w:right w:val="single" w:sz="4"/>
            </w:tcBorders>
            <w:shd w:val="clear" w:color="auto" w:fill="auto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</w:tr>
      <w:tr>
        <w:trPr>
          <w:trHeight w:val="298" w:hRule="exact"/>
        </w:trPr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gridSpan w:val="7"/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Госпитализация</w:t>
            </w:r>
          </w:p>
        </w:tc>
      </w:tr>
      <w:tr>
        <w:trPr>
          <w:trHeight w:val="302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14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8A8A8A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I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II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8A8A8A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III</w:t>
            </w:r>
          </w:p>
        </w:tc>
        <w:tc>
          <w:tcPr>
            <w:gridSpan w:val="5"/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IV</w:t>
            </w:r>
          </w:p>
        </w:tc>
      </w:tr>
      <w:tr>
        <w:trPr>
          <w:trHeight w:val="302" w:hRule="exact"/>
        </w:trPr>
        <w:tc>
          <w:tcPr>
            <w:gridSpan w:val="8"/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Степень тяжести острой лучевой болезни</w:t>
            </w:r>
          </w:p>
        </w:tc>
      </w:tr>
      <w:tr>
        <w:trPr>
          <w:trHeight w:val="298" w:hRule="exact"/>
        </w:trPr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1-2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2-4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14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4-6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36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6-</w:t>
            </w:r>
          </w:p>
        </w:tc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-10</w:t>
            </w:r>
          </w:p>
        </w:tc>
        <w:tc>
          <w:tcPr>
            <w:gridSpan w:val="2"/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10-20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righ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&gt;20</w:t>
            </w:r>
          </w:p>
        </w:tc>
      </w:tr>
      <w:tr>
        <w:trPr>
          <w:trHeight w:val="322" w:hRule="exact"/>
        </w:trPr>
        <w:tc>
          <w:tcPr>
            <w:gridSpan w:val="8"/>
            <w:tcBorders>
              <w:top w:val="single" w:sz="4"/>
              <w:left w:val="single" w:sz="4"/>
              <w:bottom w:val="single" w:sz="4"/>
              <w:righ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Дозы облучения, Гр</w:t>
            </w:r>
          </w:p>
        </w:tc>
      </w:tr>
    </w:tbl>
    <w:p>
      <w:pPr>
        <w:widowControl w:val="0"/>
        <w:spacing w:after="159" w:line="1" w:lineRule="exact"/>
      </w:pP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/>
        <w:ind w:left="0" w:right="0" w:firstLine="0"/>
        <w:jc w:val="center"/>
        <w:sectPr>
          <w:headerReference w:type="default" r:id="rId206"/>
          <w:footerReference w:type="default" r:id="rId207"/>
          <w:headerReference w:type="even" r:id="rId208"/>
          <w:footerReference w:type="even" r:id="rId209"/>
          <w:headerReference w:type="first" r:id="rId210"/>
          <w:footerReference w:type="first" r:id="rId211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15" w:right="737" w:bottom="892" w:left="1399" w:header="0" w:footer="3" w:gutter="0"/>
          <w:pgNumType w:start="109"/>
          <w:cols w:space="720"/>
          <w:noEndnote/>
          <w:titlePg/>
          <w:rtlGutter w:val="0"/>
          <w:docGrid w:linePitch="360"/>
        </w:sectPr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Рис. 18.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Общая схема лечебных мероприятий при острой лучевой болезни</w:t>
        <w:br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(по Г. Д. Селидовкину, 1995; Г. Д. Селидовкину и А. В. Барабановой, 2001)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Продолжительность лечения ОЛБ достаточно велика и, на</w:t>
        <w:softHyphen/>
        <w:t>пример, при средней степени тяжести занимает около 6-8 меся</w:t>
        <w:softHyphen/>
        <w:t>цев. Полнота восстановления обусловлена не только степенью тяжести ОЛБ, но и психоэмоциональным состоянием пациента: при равном физическом восстановлении у лиц с неустойчивой психикой результаты лечения обычно бывают хуже.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заключение нужно еще раз подчеркнуть, что клинические проявления синдромов ОЛБ в период ее разгара достаточно ши</w:t>
        <w:softHyphen/>
        <w:t>роко варьируют в зависимости от дозы облучения, что требует дифференцированного подхода к определению необходимого объема медицинской помощи.</w:t>
      </w:r>
    </w:p>
    <w:p>
      <w:pPr>
        <w:pStyle w:val="Style8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both"/>
        <w:rPr>
          <w:sz w:val="19"/>
          <w:szCs w:val="19"/>
        </w:rPr>
      </w:pPr>
      <w:r>
        <w:rPr>
          <w:b/>
          <w:bCs/>
          <w:spacing w:val="0"/>
          <w:w w:val="100"/>
          <w:position w:val="0"/>
          <w:sz w:val="19"/>
          <w:szCs w:val="19"/>
          <w:shd w:val="clear" w:color="auto" w:fill="auto"/>
          <w:lang w:val="ru-RU" w:eastAsia="ru-RU" w:bidi="ru-RU"/>
        </w:rPr>
        <w:t>Литература для самоподготовки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Основная: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Военная токсикология, радиобиология и медицинская защита: Учебник / Под ред.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/>
        <w:ind w:left="0" w:right="0" w:firstLine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С. А. Куценко. — СПб: Фолиант, 2004. — С. 385-402.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Практикум по токсикологии и медицинской защите: Учебное пособие / Под ред. А. Н. Гребенюка. — СПб: Фолиант, 2010. — С. 129-142.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20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Тестовые задания по военной токсикологии, радиобиологии и медицинской защите: Учебное пособие / Под ред. С. А. Куценко. — СПб: Фолиант, 2005. — С. 126-138.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Дополнительная: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Основы медицинской радиобиологии / Под ред. И. Б. Ушакова. — СПб: Фолиант, 2004. — С. 111-135, 224-237, 262-284.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Радиобиология человека и животных: Учебное пособие / Под ред. С. П. Ярмонен- ко. — М.: Высшая школа, 2004. — С. 234-281.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Радиационные поражения человека // Радиационная медицина / Под общ. ред. Л. А. Ильина. — М.: ИздАТ, 2001. — С. 41-107.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Радиационные поражения человека: Избранные клинические лекции / Под ред.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/>
        <w:ind w:left="0" w:right="0" w:firstLine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А. Ю. Бушманова, В. Д. Ревы. — М.: Слово, 2007. — С. 16-84.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Клиническая радиология: Учебное пособие / Под ред. А. Е. Сосюкина. — М.: ГЭОТАР- Медиа, 2008, —С. 33-101.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Синдромы острой лучевой болезни. Клинические проявления, профилактика и ле</w:t>
        <w:softHyphen/>
        <w:t>чение / Г. М. Аветисов, В. Г. Владимиров, С. Ф. Гончаров и др. — М.: ВЦМК «За</w:t>
        <w:softHyphen/>
        <w:t>щита», 2003. — 244 с.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76" w:lineRule="auto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Эметический синдром / В. И. Легеза, И. Ш. Галеев, А. Б. Селезнев. — СПб: Фолиант, 2005.— 144 с.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Средства профилактики и лечения лучевых поражений / М. В. Васин. — М.: РМАПО, 2006. — С. 226-269.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/>
        <w:ind w:right="0" w:hanging="340"/>
        <w:jc w:val="both"/>
        <w:sectPr>
          <w:headerReference w:type="default" r:id="rId212"/>
          <w:footerReference w:type="default" r:id="rId213"/>
          <w:headerReference w:type="even" r:id="rId214"/>
          <w:footerReference w:type="even" r:id="rId215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93" w:right="678" w:bottom="893" w:left="1458" w:header="465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Медицинские средства профилактики и терапии радиационных поражений: Учеб</w:t>
        <w:softHyphen/>
        <w:t>ное пособие/А. Н. Гребенюк, В. И. Легеза, В. Б. Назаров, А. А. Тимошевский. — СПб: Фолиант, 2011. — С. 53-78.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00" w:line="230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Вопросы для самоконтроля</w:t>
      </w:r>
    </w:p>
    <w:p>
      <w:pPr>
        <w:pStyle w:val="Style34"/>
        <w:keepNext w:val="0"/>
        <w:keepLines w:val="0"/>
        <w:widowControl w:val="0"/>
        <w:numPr>
          <w:ilvl w:val="0"/>
          <w:numId w:val="71"/>
        </w:numPr>
        <w:shd w:val="clear" w:color="auto" w:fill="auto"/>
        <w:tabs>
          <w:tab w:pos="279" w:val="left"/>
        </w:tabs>
        <w:bidi w:val="0"/>
        <w:spacing w:before="0" w:after="0" w:line="230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 можно классифицировать радиационные поражения в зависимости от вида излучения и условий радиационного воздействия?</w:t>
      </w:r>
    </w:p>
    <w:p>
      <w:pPr>
        <w:pStyle w:val="Style34"/>
        <w:keepNext w:val="0"/>
        <w:keepLines w:val="0"/>
        <w:widowControl w:val="0"/>
        <w:numPr>
          <w:ilvl w:val="0"/>
          <w:numId w:val="71"/>
        </w:numPr>
        <w:shd w:val="clear" w:color="auto" w:fill="auto"/>
        <w:tabs>
          <w:tab w:pos="294" w:val="left"/>
        </w:tabs>
        <w:bidi w:val="0"/>
        <w:spacing w:before="0" w:after="0" w:line="230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Дайте определение острой лучевой болезни. Какие условия необходимы для формирования ОЛБ?</w:t>
      </w:r>
    </w:p>
    <w:p>
      <w:pPr>
        <w:pStyle w:val="Style34"/>
        <w:keepNext w:val="0"/>
        <w:keepLines w:val="0"/>
        <w:widowControl w:val="0"/>
        <w:numPr>
          <w:ilvl w:val="0"/>
          <w:numId w:val="71"/>
        </w:numPr>
        <w:shd w:val="clear" w:color="auto" w:fill="auto"/>
        <w:tabs>
          <w:tab w:pos="289" w:val="left"/>
        </w:tabs>
        <w:bidi w:val="0"/>
        <w:spacing w:before="0" w:after="0" w:line="230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клинические формы ОЛБ могут развиться при внеш</w:t>
        <w:softHyphen/>
        <w:t>нем относительно равномерном облучении? При каких дозах облучения следует ожидать их развития?</w:t>
      </w:r>
    </w:p>
    <w:p>
      <w:pPr>
        <w:pStyle w:val="Style34"/>
        <w:keepNext w:val="0"/>
        <w:keepLines w:val="0"/>
        <w:widowControl w:val="0"/>
        <w:numPr>
          <w:ilvl w:val="0"/>
          <w:numId w:val="71"/>
        </w:numPr>
        <w:shd w:val="clear" w:color="auto" w:fill="auto"/>
        <w:tabs>
          <w:tab w:pos="294" w:val="left"/>
        </w:tabs>
        <w:bidi w:val="0"/>
        <w:spacing w:before="0" w:after="0" w:line="230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 степень тяжести ОЛБ зависит от дозы облучения? При каких дозах у-облучения следует ожидать развития ОЛБ лег</w:t>
        <w:softHyphen/>
        <w:t>кой, средней, тяжелой и крайне тяжелой степени?</w:t>
      </w:r>
    </w:p>
    <w:p>
      <w:pPr>
        <w:pStyle w:val="Style34"/>
        <w:keepNext w:val="0"/>
        <w:keepLines w:val="0"/>
        <w:widowControl w:val="0"/>
        <w:numPr>
          <w:ilvl w:val="0"/>
          <w:numId w:val="71"/>
        </w:numPr>
        <w:shd w:val="clear" w:color="auto" w:fill="auto"/>
        <w:tabs>
          <w:tab w:pos="294" w:val="left"/>
        </w:tabs>
        <w:bidi w:val="0"/>
        <w:spacing w:before="0" w:after="0" w:line="230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периоды можно выделить в клиническом течении ко</w:t>
        <w:softHyphen/>
        <w:t>стномозговой формы ОЛБ?</w:t>
      </w:r>
    </w:p>
    <w:p>
      <w:pPr>
        <w:pStyle w:val="Style34"/>
        <w:keepNext w:val="0"/>
        <w:keepLines w:val="0"/>
        <w:widowControl w:val="0"/>
        <w:numPr>
          <w:ilvl w:val="0"/>
          <w:numId w:val="71"/>
        </w:numPr>
        <w:shd w:val="clear" w:color="auto" w:fill="auto"/>
        <w:tabs>
          <w:tab w:pos="289" w:val="left"/>
        </w:tabs>
        <w:bidi w:val="0"/>
        <w:spacing w:before="0" w:after="0" w:line="230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Назовите основные синдромы периода первичной реакции на облучение. Исходя из патогенеза этих синдромов, предло</w:t>
        <w:softHyphen/>
        <w:t>жите фармакологические средства для профилактики и ку</w:t>
        <w:softHyphen/>
        <w:t>пирования клинических проявлений первичной реакции на облучение.</w:t>
      </w:r>
    </w:p>
    <w:p>
      <w:pPr>
        <w:pStyle w:val="Style34"/>
        <w:keepNext w:val="0"/>
        <w:keepLines w:val="0"/>
        <w:widowControl w:val="0"/>
        <w:numPr>
          <w:ilvl w:val="0"/>
          <w:numId w:val="71"/>
        </w:numPr>
        <w:shd w:val="clear" w:color="auto" w:fill="auto"/>
        <w:tabs>
          <w:tab w:pos="289" w:val="left"/>
        </w:tabs>
        <w:bidi w:val="0"/>
        <w:spacing w:before="0" w:after="0" w:line="230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Почему в период разгара ОЛБ у пострадавших развиваются инфекционные осложнения? Какие фармакологические пре</w:t>
        <w:softHyphen/>
        <w:t>параты необходимо использовать для их лечения?</w:t>
      </w:r>
    </w:p>
    <w:p>
      <w:pPr>
        <w:pStyle w:val="Style34"/>
        <w:keepNext w:val="0"/>
        <w:keepLines w:val="0"/>
        <w:widowControl w:val="0"/>
        <w:numPr>
          <w:ilvl w:val="0"/>
          <w:numId w:val="71"/>
        </w:numPr>
        <w:shd w:val="clear" w:color="auto" w:fill="auto"/>
        <w:tabs>
          <w:tab w:pos="289" w:val="left"/>
        </w:tabs>
        <w:bidi w:val="0"/>
        <w:spacing w:before="0" w:after="0" w:line="230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процессы лежат в основе геморрагического синдрома, развивающегося в период разгара ОЛБ? Какие препараты применяются для его лечения?</w:t>
      </w:r>
    </w:p>
    <w:p>
      <w:pPr>
        <w:pStyle w:val="Style34"/>
        <w:keepNext w:val="0"/>
        <w:keepLines w:val="0"/>
        <w:widowControl w:val="0"/>
        <w:numPr>
          <w:ilvl w:val="0"/>
          <w:numId w:val="71"/>
        </w:numPr>
        <w:shd w:val="clear" w:color="auto" w:fill="auto"/>
        <w:tabs>
          <w:tab w:pos="294" w:val="left"/>
        </w:tabs>
        <w:bidi w:val="0"/>
        <w:spacing w:before="0" w:after="0" w:line="230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каких дозах облучения развивается кишечная форма ОЛБ? В чем сущность патогенеза кишечного синдрома? Ка</w:t>
        <w:softHyphen/>
        <w:t>кие существуют подходы к оказанию медицинской помощи пострадавшим с кишечной формой ОЛБ?</w:t>
      </w:r>
    </w:p>
    <w:p>
      <w:pPr>
        <w:pStyle w:val="Style34"/>
        <w:keepNext w:val="0"/>
        <w:keepLines w:val="0"/>
        <w:widowControl w:val="0"/>
        <w:numPr>
          <w:ilvl w:val="0"/>
          <w:numId w:val="71"/>
        </w:numPr>
        <w:shd w:val="clear" w:color="auto" w:fill="auto"/>
        <w:tabs>
          <w:tab w:pos="390" w:val="left"/>
        </w:tabs>
        <w:bidi w:val="0"/>
        <w:spacing w:before="0" w:after="0" w:line="230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Какая клиническая форма ОЛБ развивается при облучении в дозах от 20 до 50 Гр? Какие клинические проявления наблю</w:t>
        <w:softHyphen/>
        <w:t>даются у облученных? Как осуществляется их лечение?</w:t>
      </w:r>
    </w:p>
    <w:p>
      <w:pPr>
        <w:pStyle w:val="Style34"/>
        <w:keepNext w:val="0"/>
        <w:keepLines w:val="0"/>
        <w:widowControl w:val="0"/>
        <w:numPr>
          <w:ilvl w:val="0"/>
          <w:numId w:val="71"/>
        </w:numPr>
        <w:shd w:val="clear" w:color="auto" w:fill="auto"/>
        <w:tabs>
          <w:tab w:pos="385" w:val="left"/>
        </w:tabs>
        <w:bidi w:val="0"/>
        <w:spacing w:before="0" w:after="0" w:line="230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каких дозах облучения развивается церебральная форма ОЛБ? Назовите основные клинические проявления и исхо</w:t>
        <w:softHyphen/>
        <w:t>ды этой формы лучевой патологии.</w:t>
      </w:r>
    </w:p>
    <w:p>
      <w:pPr>
        <w:pStyle w:val="Style34"/>
        <w:keepNext w:val="0"/>
        <w:keepLines w:val="0"/>
        <w:widowControl w:val="0"/>
        <w:numPr>
          <w:ilvl w:val="0"/>
          <w:numId w:val="71"/>
        </w:numPr>
        <w:shd w:val="clear" w:color="auto" w:fill="auto"/>
        <w:tabs>
          <w:tab w:pos="390" w:val="left"/>
        </w:tabs>
        <w:bidi w:val="0"/>
        <w:spacing w:before="0" w:after="0" w:line="230" w:lineRule="auto"/>
        <w:ind w:left="360" w:right="0" w:hanging="360"/>
        <w:jc w:val="both"/>
        <w:sectPr>
          <w:headerReference w:type="default" r:id="rId216"/>
          <w:footerReference w:type="default" r:id="rId217"/>
          <w:headerReference w:type="even" r:id="rId218"/>
          <w:footerReference w:type="even" r:id="rId219"/>
          <w:footnotePr>
            <w:pos w:val="pageBottom"/>
            <w:numFmt w:val="chicago"/>
            <w:numRestart w:val="continuous"/>
            <w15:footnoteColumns w:val="1"/>
          </w:footnotePr>
          <w:pgSz w:w="7483" w:h="12350"/>
          <w:pgMar w:top="1166" w:right="537" w:bottom="1166" w:left="662" w:header="738" w:footer="3" w:gutter="0"/>
          <w:pgNumType w:start="111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процессы лежат в основе патогенеза синдрома ранней преходящей недееспособности? Какие фармакологические препараты можно применять для его профилактики и по</w:t>
        <w:softHyphen/>
        <w:t>чему?</w:t>
      </w:r>
    </w:p>
    <w:p>
      <w:pPr>
        <w:pStyle w:val="Style34"/>
        <w:keepNext w:val="0"/>
        <w:keepLines w:val="0"/>
        <w:widowControl w:val="0"/>
        <w:numPr>
          <w:ilvl w:val="0"/>
          <w:numId w:val="71"/>
        </w:numPr>
        <w:shd w:val="clear" w:color="auto" w:fill="auto"/>
        <w:tabs>
          <w:tab w:pos="380" w:val="left"/>
        </w:tabs>
        <w:bidi w:val="0"/>
        <w:spacing w:before="0" w:after="0" w:line="226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формы радиационных поражений могут развиться при внешнем неравномерном облучении? Назовите особенности клинической картины ОЛБ от внешнего неравномерного об</w:t>
        <w:softHyphen/>
        <w:t>лучения.</w:t>
      </w:r>
    </w:p>
    <w:p>
      <w:pPr>
        <w:pStyle w:val="Style34"/>
        <w:keepNext w:val="0"/>
        <w:keepLines w:val="0"/>
        <w:widowControl w:val="0"/>
        <w:numPr>
          <w:ilvl w:val="0"/>
          <w:numId w:val="71"/>
        </w:numPr>
        <w:shd w:val="clear" w:color="auto" w:fill="auto"/>
        <w:tabs>
          <w:tab w:pos="385" w:val="left"/>
        </w:tabs>
        <w:bidi w:val="0"/>
        <w:spacing w:before="0" w:after="0" w:line="223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Дайте характеристику радиационных поражений, формиру</w:t>
        <w:softHyphen/>
        <w:t>ющихся при остром воздействии нейтронов.</w:t>
      </w:r>
    </w:p>
    <w:p>
      <w:pPr>
        <w:pStyle w:val="Style34"/>
        <w:keepNext w:val="0"/>
        <w:keepLines w:val="0"/>
        <w:widowControl w:val="0"/>
        <w:numPr>
          <w:ilvl w:val="0"/>
          <w:numId w:val="71"/>
        </w:numPr>
        <w:shd w:val="clear" w:color="auto" w:fill="auto"/>
        <w:tabs>
          <w:tab w:pos="380" w:val="left"/>
        </w:tabs>
        <w:bidi w:val="0"/>
        <w:spacing w:before="0" w:after="0" w:line="228" w:lineRule="auto"/>
        <w:ind w:left="340" w:right="0" w:hanging="340"/>
        <w:jc w:val="both"/>
        <w:sectPr>
          <w:headerReference w:type="default" r:id="rId220"/>
          <w:footerReference w:type="default" r:id="rId221"/>
          <w:headerReference w:type="even" r:id="rId222"/>
          <w:footerReference w:type="even" r:id="rId223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121" w:right="386" w:bottom="1121" w:left="1788" w:header="693" w:footer="693" w:gutter="0"/>
          <w:pgNumType w:start="113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 особенности биологического эффекта нейтронов влияют на патогенез и клиническую картину поражений?</w:t>
      </w:r>
    </w:p>
    <w:p>
      <w:pPr>
        <w:pStyle w:val="Style36"/>
        <w:keepNext/>
        <w:keepLines/>
        <w:widowControl w:val="0"/>
        <w:shd w:val="clear" w:color="auto" w:fill="auto"/>
        <w:bidi w:val="0"/>
        <w:spacing w:before="0" w:after="240" w:line="240" w:lineRule="auto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  <w:shd w:val="clear" w:color="auto" w:fill="auto"/>
          <w:lang w:val="ru-RU" w:eastAsia="ru-RU" w:bidi="ru-RU"/>
        </w:rPr>
        <w:t>Глава 4</w:t>
      </w:r>
    </w:p>
    <w:p>
      <w:pPr>
        <w:pStyle w:val="Style39"/>
        <w:keepNext/>
        <w:keepLines/>
        <w:widowControl w:val="0"/>
        <w:shd w:val="clear" w:color="auto" w:fill="auto"/>
        <w:bidi w:val="0"/>
        <w:spacing w:before="0" w:after="700" w:line="276" w:lineRule="auto"/>
        <w:ind w:left="0" w:right="0" w:firstLine="0"/>
        <w:jc w:val="center"/>
      </w:pPr>
      <w:bookmarkStart w:id="60" w:name="bookmark60"/>
      <w:r>
        <w:rPr>
          <w:spacing w:val="0"/>
          <w:w w:val="100"/>
          <w:position w:val="0"/>
          <w:sz w:val="24"/>
          <w:szCs w:val="24"/>
          <w:shd w:val="clear" w:color="auto" w:fill="auto"/>
          <w:lang w:val="ru-RU" w:eastAsia="ru-RU" w:bidi="ru-RU"/>
        </w:rPr>
        <w:t>ПОРАЖЕНИЯ В РЕЗУЛЬТАТЕ ВНУТРЕННЕГО</w:t>
        <w:br/>
        <w:t>РАДИОАКТИВНОГО ЗАРАЖЕНИЯ</w:t>
      </w:r>
      <w:bookmarkEnd w:id="60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00" w:line="228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Учебные вопросы</w:t>
      </w:r>
    </w:p>
    <w:p>
      <w:pPr>
        <w:pStyle w:val="Style34"/>
        <w:keepNext w:val="0"/>
        <w:keepLines w:val="0"/>
        <w:widowControl w:val="0"/>
        <w:numPr>
          <w:ilvl w:val="0"/>
          <w:numId w:val="73"/>
        </w:numPr>
        <w:shd w:val="clear" w:color="auto" w:fill="auto"/>
        <w:tabs>
          <w:tab w:pos="274" w:val="left"/>
        </w:tabs>
        <w:bidi w:val="0"/>
        <w:spacing w:before="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Поражения радиоактивными веществами при их попадании внутрь организма: условия возникновения, общая характери</w:t>
        <w:softHyphen/>
        <w:t>стика поражений.</w:t>
      </w:r>
    </w:p>
    <w:p>
      <w:pPr>
        <w:pStyle w:val="Style34"/>
        <w:keepNext w:val="0"/>
        <w:keepLines w:val="0"/>
        <w:widowControl w:val="0"/>
        <w:numPr>
          <w:ilvl w:val="0"/>
          <w:numId w:val="73"/>
        </w:numPr>
        <w:shd w:val="clear" w:color="auto" w:fill="auto"/>
        <w:tabs>
          <w:tab w:pos="289" w:val="left"/>
        </w:tabs>
        <w:bidi w:val="0"/>
        <w:spacing w:before="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Понятие об активности, постоянной радиоактивного распада, периоде полураспада, периоде полувыведения и периоде по</w:t>
        <w:softHyphen/>
        <w:t>ловинной эффективности радионуклида. Факторы, определя</w:t>
        <w:softHyphen/>
        <w:t>ющие особенности биологического действия радионуклидов, характер и тяжесть возникающего при их инкорпорации луче</w:t>
        <w:softHyphen/>
        <w:t>вого поражения. Роль вида излучения (а, 0, у), активности ра</w:t>
        <w:softHyphen/>
        <w:t>дионуклида, интенсивности всасывания в кровь и отложения в органах, скорости распада и выведения из организма в фор</w:t>
        <w:softHyphen/>
        <w:t>мировании лучевого поражения от внутреннего облучения.</w:t>
      </w:r>
    </w:p>
    <w:p>
      <w:pPr>
        <w:pStyle w:val="Style34"/>
        <w:keepNext w:val="0"/>
        <w:keepLines w:val="0"/>
        <w:widowControl w:val="0"/>
        <w:numPr>
          <w:ilvl w:val="0"/>
          <w:numId w:val="73"/>
        </w:numPr>
        <w:shd w:val="clear" w:color="auto" w:fill="auto"/>
        <w:tabs>
          <w:tab w:pos="294" w:val="left"/>
        </w:tabs>
        <w:bidi w:val="0"/>
        <w:spacing w:before="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Кинетика радионуклидов в организме. Пути поступления ра</w:t>
        <w:softHyphen/>
        <w:t>дионуклидов в организм: ингаляционный, пероральный, пер</w:t>
        <w:softHyphen/>
        <w:t>кутанный. Судьба радионуклидов, проникших в кровь. Основ</w:t>
        <w:softHyphen/>
        <w:t>ные типы распределения инкорпорированных радионуклидов в организме: скелетный тип (остеотропные щелочноземель</w:t>
        <w:softHyphen/>
        <w:t>ные элементы), ретикулоэндотелиальное распределение (гепа- тотропные редкоземельные элементы), диффузный тип (ще</w:t>
        <w:softHyphen/>
        <w:t>лочные и другие элементы), избирательное распределение (поглощение радиоактивного йода щитовидной железой). Метаболизм и основные пути выведения радионуклидов из организма.</w:t>
      </w:r>
    </w:p>
    <w:p>
      <w:pPr>
        <w:pStyle w:val="Style34"/>
        <w:keepNext w:val="0"/>
        <w:keepLines w:val="0"/>
        <w:widowControl w:val="0"/>
        <w:numPr>
          <w:ilvl w:val="0"/>
          <w:numId w:val="73"/>
        </w:numPr>
        <w:shd w:val="clear" w:color="auto" w:fill="auto"/>
        <w:tabs>
          <w:tab w:pos="294" w:val="left"/>
        </w:tabs>
        <w:bidi w:val="0"/>
        <w:spacing w:before="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Лучевые поражения в результате алиментарного и ингаляци</w:t>
        <w:softHyphen/>
        <w:t>онного поступления в организм продуктов ядерного деления (продуктов ядерного взрыва). Патогенез, основные клиниче</w:t>
        <w:softHyphen/>
        <w:t>ские проявления, подходы к лечению.</w:t>
      </w:r>
    </w:p>
    <w:p>
      <w:pPr>
        <w:pStyle w:val="Style34"/>
        <w:keepNext w:val="0"/>
        <w:keepLines w:val="0"/>
        <w:widowControl w:val="0"/>
        <w:numPr>
          <w:ilvl w:val="0"/>
          <w:numId w:val="73"/>
        </w:numPr>
        <w:shd w:val="clear" w:color="auto" w:fill="auto"/>
        <w:tabs>
          <w:tab w:pos="289" w:val="left"/>
        </w:tabs>
        <w:bidi w:val="0"/>
        <w:spacing w:before="0" w:after="60" w:line="228" w:lineRule="auto"/>
        <w:ind w:left="240" w:right="0" w:hanging="240"/>
        <w:jc w:val="both"/>
        <w:sectPr>
          <w:headerReference w:type="default" r:id="rId224"/>
          <w:footerReference w:type="default" r:id="rId225"/>
          <w:headerReference w:type="even" r:id="rId226"/>
          <w:footerReference w:type="even" r:id="rId227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40" w:right="984" w:bottom="940" w:left="1142" w:header="512" w:footer="3" w:gutter="0"/>
          <w:pgNumType w:start="113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Особенности радиационных поражений, их профилактики и лечения при инкорпорации радиоактивного йода, цезия, стронция, плутония и полония.</w:t>
      </w:r>
    </w:p>
    <w:p>
      <w:pPr>
        <w:pStyle w:val="Style34"/>
        <w:keepNext w:val="0"/>
        <w:keepLines w:val="0"/>
        <w:widowControl w:val="0"/>
        <w:numPr>
          <w:ilvl w:val="0"/>
          <w:numId w:val="75"/>
        </w:numPr>
        <w:shd w:val="clear" w:color="auto" w:fill="auto"/>
        <w:tabs>
          <w:tab w:pos="385" w:val="left"/>
        </w:tabs>
        <w:bidi w:val="0"/>
        <w:spacing w:before="0" w:after="0" w:line="226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формы радиационных поражений могут развиться при внешнем неравномерном облучении? Назовите особенности клинической картины ОЛБ от внешнего неравномерного об</w:t>
        <w:softHyphen/>
        <w:t>лучения.</w:t>
      </w:r>
    </w:p>
    <w:p>
      <w:pPr>
        <w:pStyle w:val="Style34"/>
        <w:keepNext w:val="0"/>
        <w:keepLines w:val="0"/>
        <w:widowControl w:val="0"/>
        <w:numPr>
          <w:ilvl w:val="0"/>
          <w:numId w:val="75"/>
        </w:numPr>
        <w:shd w:val="clear" w:color="auto" w:fill="auto"/>
        <w:tabs>
          <w:tab w:pos="385" w:val="left"/>
        </w:tabs>
        <w:bidi w:val="0"/>
        <w:spacing w:before="0" w:after="0" w:line="223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Дайте характеристику радиационных поражений, формиру</w:t>
        <w:softHyphen/>
        <w:t>ющихся при остром воздействии нейтронов.</w:t>
      </w:r>
    </w:p>
    <w:p>
      <w:pPr>
        <w:pStyle w:val="Style34"/>
        <w:keepNext w:val="0"/>
        <w:keepLines w:val="0"/>
        <w:widowControl w:val="0"/>
        <w:numPr>
          <w:ilvl w:val="0"/>
          <w:numId w:val="75"/>
        </w:numPr>
        <w:shd w:val="clear" w:color="auto" w:fill="auto"/>
        <w:tabs>
          <w:tab w:pos="385" w:val="left"/>
        </w:tabs>
        <w:bidi w:val="0"/>
        <w:spacing w:before="0" w:after="0" w:line="228" w:lineRule="auto"/>
        <w:ind w:left="340" w:right="0" w:hanging="340"/>
        <w:jc w:val="both"/>
        <w:sectPr>
          <w:headerReference w:type="default" r:id="rId228"/>
          <w:footerReference w:type="default" r:id="rId229"/>
          <w:headerReference w:type="even" r:id="rId230"/>
          <w:footerReference w:type="even" r:id="rId231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150" w:right="599" w:bottom="1150" w:left="1566" w:header="722" w:footer="722" w:gutter="0"/>
          <w:pgNumType w:start="115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 особенности биологического эффекта нейтронов влияют на патогенез и клиническую картину поражений?</w:t>
      </w:r>
    </w:p>
    <w:p>
      <w:pPr>
        <w:pStyle w:val="Style39"/>
        <w:keepNext/>
        <w:keepLines/>
        <w:widowControl w:val="0"/>
        <w:shd w:val="clear" w:color="auto" w:fill="auto"/>
        <w:bidi w:val="0"/>
        <w:spacing w:before="0" w:after="600" w:line="360" w:lineRule="auto"/>
        <w:ind w:left="0" w:right="0" w:firstLine="0"/>
        <w:jc w:val="center"/>
      </w:pPr>
      <w:bookmarkStart w:id="62" w:name="bookmark62"/>
      <w:r>
        <w:rPr>
          <w:spacing w:val="0"/>
          <w:w w:val="100"/>
          <w:position w:val="0"/>
          <w:sz w:val="24"/>
          <w:szCs w:val="24"/>
          <w:shd w:val="clear" w:color="auto" w:fill="auto"/>
          <w:lang w:val="ru-RU" w:eastAsia="ru-RU" w:bidi="ru-RU"/>
        </w:rPr>
        <w:t>Глава 4</w:t>
        <w:br/>
        <w:t>ПОРАЖЕНИЯ В РЕЗУЛЬТАТЕ ВНУТРЕННЕГО</w:t>
        <w:br/>
        <w:t>РАДИОАКТИВНОГО ЗАРАЖЕНИЯ</w:t>
      </w:r>
      <w:bookmarkEnd w:id="62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00" w:line="230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Учебные вопросы</w:t>
      </w:r>
    </w:p>
    <w:p>
      <w:pPr>
        <w:pStyle w:val="Style34"/>
        <w:keepNext w:val="0"/>
        <w:keepLines w:val="0"/>
        <w:widowControl w:val="0"/>
        <w:numPr>
          <w:ilvl w:val="0"/>
          <w:numId w:val="77"/>
        </w:numPr>
        <w:shd w:val="clear" w:color="auto" w:fill="auto"/>
        <w:tabs>
          <w:tab w:pos="274" w:val="left"/>
        </w:tabs>
        <w:bidi w:val="0"/>
        <w:spacing w:before="0" w:after="0" w:line="230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Поражения радиоактивными веществами при их попадании внутрь организма: условия возникновения, общая характери</w:t>
        <w:softHyphen/>
        <w:t>стика поражений.</w:t>
      </w:r>
    </w:p>
    <w:p>
      <w:pPr>
        <w:pStyle w:val="Style34"/>
        <w:keepNext w:val="0"/>
        <w:keepLines w:val="0"/>
        <w:widowControl w:val="0"/>
        <w:numPr>
          <w:ilvl w:val="0"/>
          <w:numId w:val="77"/>
        </w:numPr>
        <w:shd w:val="clear" w:color="auto" w:fill="auto"/>
        <w:tabs>
          <w:tab w:pos="289" w:val="left"/>
        </w:tabs>
        <w:bidi w:val="0"/>
        <w:spacing w:before="0" w:after="0" w:line="230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Понятие об активности, постоянной радиоактивного распада, периоде полураспада, периоде полувыведения и периоде по</w:t>
        <w:softHyphen/>
        <w:t>ловинной эффективности радионуклида. Факторы, определя</w:t>
        <w:softHyphen/>
        <w:t>ющие особенности биологического действия радионуклидов, характер и тяжесть возникающего при их инкорпорации луче</w:t>
        <w:softHyphen/>
        <w:t>вого поражения. Роль вида излучения (а, р, у), активности ра</w:t>
        <w:softHyphen/>
        <w:t>дионуклида, интенсивности всасывания в кровь и отложения в органах, скорости распада и выведения из организма в фор</w:t>
        <w:softHyphen/>
        <w:t>мировании лучевого поражения от внутреннего облучения.</w:t>
      </w:r>
    </w:p>
    <w:p>
      <w:pPr>
        <w:pStyle w:val="Style34"/>
        <w:keepNext w:val="0"/>
        <w:keepLines w:val="0"/>
        <w:widowControl w:val="0"/>
        <w:numPr>
          <w:ilvl w:val="0"/>
          <w:numId w:val="77"/>
        </w:numPr>
        <w:shd w:val="clear" w:color="auto" w:fill="auto"/>
        <w:tabs>
          <w:tab w:pos="294" w:val="left"/>
        </w:tabs>
        <w:bidi w:val="0"/>
        <w:spacing w:before="0" w:after="0" w:line="230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Кинетика радионуклидов в организме. Пути поступления ра</w:t>
        <w:softHyphen/>
        <w:t>дионуклидов в организм: ингаляционный, пероральный, пер</w:t>
        <w:softHyphen/>
        <w:t>кутанный. Судьба радионуклидов, проникших в кровь. Основ</w:t>
        <w:softHyphen/>
        <w:t>ные типы распределения инкорпорированных радионуклидов в организме: скелетный тип (остеотропные щелочноземель</w:t>
        <w:softHyphen/>
        <w:t>ные элементы), ретикулоэндотелиальное распределение (гепа- тотропные редкоземельные элементы), диффузный тип (ще</w:t>
        <w:softHyphen/>
        <w:t>лочные и другие элементы), избирательное распределение (поглощение радиоактивного йода щитовидной железой). Метаболизм и основные пути выведения радионуклидов из организма.</w:t>
      </w:r>
    </w:p>
    <w:p>
      <w:pPr>
        <w:pStyle w:val="Style34"/>
        <w:keepNext w:val="0"/>
        <w:keepLines w:val="0"/>
        <w:widowControl w:val="0"/>
        <w:numPr>
          <w:ilvl w:val="0"/>
          <w:numId w:val="77"/>
        </w:numPr>
        <w:shd w:val="clear" w:color="auto" w:fill="auto"/>
        <w:tabs>
          <w:tab w:pos="298" w:val="left"/>
        </w:tabs>
        <w:bidi w:val="0"/>
        <w:spacing w:before="0" w:after="0" w:line="230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Лучевые поражения в результате алиментарного и ингаляци</w:t>
        <w:softHyphen/>
        <w:t>онного поступления в организм продуктов ядерного деления (продуктов ядерного взрыва). Патогенез, основные клиниче</w:t>
        <w:softHyphen/>
        <w:t>ские проявления, подходы к лечению.</w:t>
      </w:r>
    </w:p>
    <w:p>
      <w:pPr>
        <w:pStyle w:val="Style34"/>
        <w:keepNext w:val="0"/>
        <w:keepLines w:val="0"/>
        <w:widowControl w:val="0"/>
        <w:numPr>
          <w:ilvl w:val="0"/>
          <w:numId w:val="77"/>
        </w:numPr>
        <w:shd w:val="clear" w:color="auto" w:fill="auto"/>
        <w:tabs>
          <w:tab w:pos="294" w:val="left"/>
        </w:tabs>
        <w:bidi w:val="0"/>
        <w:spacing w:before="0" w:after="0" w:line="230" w:lineRule="auto"/>
        <w:ind w:left="240" w:right="0" w:hanging="240"/>
        <w:jc w:val="both"/>
        <w:sectPr>
          <w:headerReference w:type="default" r:id="rId232"/>
          <w:footerReference w:type="default" r:id="rId233"/>
          <w:headerReference w:type="even" r:id="rId234"/>
          <w:footerReference w:type="even" r:id="rId235"/>
          <w:footnotePr>
            <w:pos w:val="pageBottom"/>
            <w:numFmt w:val="chicago"/>
            <w:numRestart w:val="continuous"/>
            <w15:footnoteColumns w:val="1"/>
          </w:footnotePr>
          <w:pgSz w:w="7450" w:h="12331"/>
          <w:pgMar w:top="1258" w:right="586" w:bottom="1258" w:left="581" w:header="83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Особенности радиационных поражений, их профилактики и лечения при инкорпорации радиоактивного йода, цезия, стронция, плутония и полония.</w:t>
      </w:r>
    </w:p>
    <w:p>
      <w:pPr>
        <w:pStyle w:val="Style34"/>
        <w:keepNext w:val="0"/>
        <w:keepLines w:val="0"/>
        <w:widowControl w:val="0"/>
        <w:numPr>
          <w:ilvl w:val="0"/>
          <w:numId w:val="77"/>
        </w:numPr>
        <w:shd w:val="clear" w:color="auto" w:fill="auto"/>
        <w:tabs>
          <w:tab w:pos="289" w:val="left"/>
        </w:tabs>
        <w:bidi w:val="0"/>
        <w:spacing w:before="8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Оценка поражающего действия радиоактивных продуктов ядерных взрывов и аварий на атомных энергетических уста</w:t>
        <w:softHyphen/>
        <w:t>новках при внутреннем заражении. Прямой и непрямой мето</w:t>
        <w:softHyphen/>
        <w:t>ды оценки активности инкорпорированных радионуклидов, их роль в диагностике поражений от внутреннего облучения.</w:t>
      </w:r>
    </w:p>
    <w:p>
      <w:pPr>
        <w:pStyle w:val="Style34"/>
        <w:keepNext w:val="0"/>
        <w:keepLines w:val="0"/>
        <w:widowControl w:val="0"/>
        <w:numPr>
          <w:ilvl w:val="0"/>
          <w:numId w:val="77"/>
        </w:numPr>
        <w:shd w:val="clear" w:color="auto" w:fill="auto"/>
        <w:tabs>
          <w:tab w:pos="294" w:val="left"/>
        </w:tabs>
        <w:bidi w:val="0"/>
        <w:spacing w:before="0" w:after="16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Профилактика поражений радионуклидами. Медицинские средства защиты и раннего лечения.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28" w:lineRule="auto"/>
        <w:ind w:left="0" w:right="0" w:firstLine="0"/>
        <w:jc w:val="both"/>
      </w:pPr>
      <w:bookmarkStart w:id="64" w:name="bookmark64"/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Базисные знания</w:t>
      </w:r>
      <w:bookmarkEnd w:id="64"/>
    </w:p>
    <w:p>
      <w:pPr>
        <w:pStyle w:val="Style34"/>
        <w:keepNext w:val="0"/>
        <w:keepLines w:val="0"/>
        <w:widowControl w:val="0"/>
        <w:numPr>
          <w:ilvl w:val="0"/>
          <w:numId w:val="79"/>
        </w:numPr>
        <w:shd w:val="clear" w:color="auto" w:fill="auto"/>
        <w:tabs>
          <w:tab w:pos="279" w:val="left"/>
        </w:tabs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Понятие о радиоактивности и радиоактивном распаде.</w:t>
      </w:r>
    </w:p>
    <w:p>
      <w:pPr>
        <w:pStyle w:val="Style34"/>
        <w:keepNext w:val="0"/>
        <w:keepLines w:val="0"/>
        <w:widowControl w:val="0"/>
        <w:numPr>
          <w:ilvl w:val="0"/>
          <w:numId w:val="79"/>
        </w:numPr>
        <w:shd w:val="clear" w:color="auto" w:fill="auto"/>
        <w:tabs>
          <w:tab w:pos="289" w:val="left"/>
        </w:tabs>
        <w:bidi w:val="0"/>
        <w:spacing w:before="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Виды излучений, испускаемых при распаде радиоактивных веществ. Их ионизирующая и проникающая способность.</w:t>
      </w:r>
    </w:p>
    <w:p>
      <w:pPr>
        <w:pStyle w:val="Style34"/>
        <w:keepNext w:val="0"/>
        <w:keepLines w:val="0"/>
        <w:widowControl w:val="0"/>
        <w:numPr>
          <w:ilvl w:val="0"/>
          <w:numId w:val="79"/>
        </w:numPr>
        <w:shd w:val="clear" w:color="auto" w:fill="auto"/>
        <w:tabs>
          <w:tab w:pos="294" w:val="left"/>
        </w:tabs>
        <w:bidi w:val="0"/>
        <w:spacing w:before="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Понятия: активность, удельная активность, плотность поверх</w:t>
        <w:softHyphen/>
        <w:t>ностного заражения. Единицы их измерения.</w:t>
      </w:r>
    </w:p>
    <w:p>
      <w:pPr>
        <w:pStyle w:val="Style34"/>
        <w:keepNext w:val="0"/>
        <w:keepLines w:val="0"/>
        <w:widowControl w:val="0"/>
        <w:numPr>
          <w:ilvl w:val="0"/>
          <w:numId w:val="79"/>
        </w:numPr>
        <w:shd w:val="clear" w:color="auto" w:fill="auto"/>
        <w:tabs>
          <w:tab w:pos="294" w:val="left"/>
        </w:tabs>
        <w:bidi w:val="0"/>
        <w:spacing w:before="0" w:after="52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Приборы, позволяющие измерять радиоактивность.</w:t>
      </w:r>
    </w:p>
    <w:p>
      <w:pPr>
        <w:pStyle w:val="Style44"/>
        <w:keepNext/>
        <w:keepLines/>
        <w:widowControl w:val="0"/>
        <w:numPr>
          <w:ilvl w:val="1"/>
          <w:numId w:val="79"/>
        </w:numPr>
        <w:shd w:val="clear" w:color="auto" w:fill="auto"/>
        <w:tabs>
          <w:tab w:pos="567" w:val="left"/>
        </w:tabs>
        <w:bidi w:val="0"/>
        <w:spacing w:before="0" w:after="220" w:line="276" w:lineRule="auto"/>
        <w:ind w:left="0" w:right="0" w:firstLine="0"/>
        <w:jc w:val="center"/>
      </w:pPr>
      <w:bookmarkStart w:id="65" w:name="bookmark65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УСЛОВИЯ ВОЗНИКНОВЕНИЯ И ОБЩАЯ ХАРАКТЕРИСТИКА</w:t>
        <w:br/>
        <w:t>ПОРАЖЕНИЙ ОТ ВНУТРЕННЕГО РАДИОАКТИВНОГО ЗАРАЖЕНИЯ</w:t>
      </w:r>
      <w:bookmarkEnd w:id="65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Внутреннее радиоактивное заражение возможно в результате по</w:t>
        <w:softHyphen/>
        <w:t>ступления в организм продуктов ядерного взрыва, выбросов, формирующихся при авариях ядерных энергетических устано</w:t>
        <w:softHyphen/>
        <w:t>вок, несоблюдении правил работы с радиоактивными вещества</w:t>
        <w:softHyphen/>
        <w:t>ми (РВ), разгерметизации похищенных или найденных радиоак</w:t>
        <w:softHyphen/>
        <w:t>тивных источников, проникновении людей в места захоронения радиоактивных отходов, случайном или преднамеренном (с суи</w:t>
        <w:softHyphen/>
        <w:t>цидной целью) приеме радиоактивных веществ внутрь.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заражении местности и приземного слоя воздуха про</w:t>
        <w:softHyphen/>
        <w:t>дуктами ядерного деления, даже во время выпадения РВ из обла</w:t>
        <w:softHyphen/>
        <w:t>ка ядерного взрыва, относительное значение ингаляционного заражения значительно меньше, чем внешнего облучения. При алиментарном поступлении продуктов ядерного деления (про</w:t>
        <w:softHyphen/>
        <w:t>дуктов ядерного взрыва) возможно возникновение поражений от внутреннего заражения различной степени тяжести.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Внутреннее заражение продуктами аварийных выбросов мо</w:t>
        <w:softHyphen/>
        <w:t>жет представить значительно большую опасность, чем при воз</w:t>
        <w:softHyphen/>
        <w:t xml:space="preserve">действии продуктов ядерного взрыва. При прохождении факела выброса велика доля газообразной составляющей, в том числе радиоактивных благородных газов, а также мелкодисперсного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аэрозоля твердых компонентов. По этой причине ингаляцион</w:t>
        <w:softHyphen/>
        <w:t>ным путем в легкие может попасть существенно больше радио</w:t>
        <w:softHyphen/>
        <w:t>активных продуктов, чем если бы они были в составе более крупных частиц (как, например, в случае ингаляции продуктов наземного ядерного взрыва). Кроме того, продукты аварийных выбросов значительно легче проникают через респираторы и противогазы.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520" w:line="240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сочетании внешнего облучения и внутреннего радиоак</w:t>
        <w:softHyphen/>
        <w:t>тивного заражения обычно преобладает действие внешнего об</w:t>
        <w:softHyphen/>
        <w:t>лучения. Особенно это касается острых эффектов. Однако сле</w:t>
        <w:softHyphen/>
        <w:t>дует учитывать, что воздействие внутреннего облучения может быть длительным — в течение всего времени, пока радионуклид сохраняется в организме, тогда как действие внешнего облуче</w:t>
        <w:softHyphen/>
        <w:t>ния прекращается с выходом человека из зоны заражения.</w:t>
      </w:r>
    </w:p>
    <w:p>
      <w:pPr>
        <w:pStyle w:val="Style44"/>
        <w:keepNext/>
        <w:keepLines/>
        <w:widowControl w:val="0"/>
        <w:numPr>
          <w:ilvl w:val="1"/>
          <w:numId w:val="79"/>
        </w:numPr>
        <w:shd w:val="clear" w:color="auto" w:fill="auto"/>
        <w:tabs>
          <w:tab w:pos="499" w:val="left"/>
        </w:tabs>
        <w:bidi w:val="0"/>
        <w:spacing w:before="0" w:after="260" w:line="240" w:lineRule="auto"/>
        <w:ind w:left="0" w:right="0" w:firstLine="0"/>
        <w:jc w:val="center"/>
      </w:pPr>
      <w:bookmarkStart w:id="67" w:name="bookmark67"/>
      <w:bookmarkStart w:id="68" w:name="bookmark68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РАДИОАКТИВНОСТЬ: ОСНОВНЫЕ ПОНЯТИЯ И ТЕРМИНЫ</w:t>
      </w:r>
      <w:bookmarkEnd w:id="68"/>
      <w:bookmarkEnd w:id="67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Радиоактивность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(от лат. </w:t>
      </w:r>
      <w:r>
        <w:rPr>
          <w:i/>
          <w:iCs/>
          <w:spacing w:val="0"/>
          <w:w w:val="100"/>
          <w:position w:val="0"/>
          <w:shd w:val="clear" w:color="auto" w:fill="auto"/>
          <w:lang w:val="en-US" w:eastAsia="en-US" w:bidi="en-US"/>
        </w:rPr>
        <w:t>radio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излучаю, </w:t>
      </w:r>
      <w:r>
        <w:rPr>
          <w:i/>
          <w:iCs/>
          <w:spacing w:val="0"/>
          <w:w w:val="100"/>
          <w:position w:val="0"/>
          <w:shd w:val="clear" w:color="auto" w:fill="auto"/>
          <w:lang w:val="en-US" w:eastAsia="en-US" w:bidi="en-US"/>
        </w:rPr>
        <w:t>radius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луч и </w:t>
      </w:r>
      <w:r>
        <w:rPr>
          <w:i/>
          <w:iCs/>
          <w:spacing w:val="0"/>
          <w:w w:val="100"/>
          <w:position w:val="0"/>
          <w:shd w:val="clear" w:color="auto" w:fill="auto"/>
          <w:lang w:val="en-US" w:eastAsia="en-US" w:bidi="en-US"/>
        </w:rPr>
        <w:t xml:space="preserve">acti- vus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—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действенный) — самопроизвольное (спонтанное) превра</w:t>
        <w:softHyphen/>
        <w:t>щение неустойчивого изотопа химического элемента в другой изотоп (обычно — изотоп другого элемента). Сущность явления радиоактивности состоит в самопроизвольном изменении соста</w:t>
        <w:softHyphen/>
        <w:t>ва атомного ядра, находящегося в основном (стабильном) состо</w:t>
        <w:softHyphen/>
        <w:t>янии либо в возбужденном долгоживущем (метастабильном) со</w:t>
        <w:softHyphen/>
        <w:t>стоянии.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Различают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естественную радиоактивность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— способность к радиоактивному распаду изотопов, существующих в природных условиях,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искусственную радиоактивность —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радиоактивный распад изотопов, получаемых в результате ядерных реакций. Из общего числа известных ныне радиоактивных веществ (более 2000) лишь около 300 являются природными изотопами, а оста</w:t>
        <w:softHyphen/>
        <w:t>льные получены искусственным путем в результате ядерных ре</w:t>
        <w:softHyphen/>
        <w:t>акций. По физическим характеристикам и биологическим эф</w:t>
        <w:softHyphen/>
        <w:t>фектам между естественной и искусственной радиоактивностью принципиальных различий нет.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60" w:line="240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Превращения радиоактивных веществ сопровождаются ра</w:t>
        <w:softHyphen/>
        <w:t xml:space="preserve">диоактивным распадом — испусканием ядрами элементарных частиц либо других ядер, например ядер 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Не (а-частиц). В на</w:t>
        <w:softHyphen/>
        <w:t>стоящее время известны четыре типа радиоактивного распада:</w:t>
      </w:r>
      <w:r>
        <w:br w:type="page"/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drawing>
          <wp:anchor distT="0" distB="0" distL="114300" distR="114300" simplePos="0" relativeHeight="125829405" behindDoc="0" locked="0" layoutInCell="1" allowOverlap="1">
            <wp:simplePos x="0" y="0"/>
            <wp:positionH relativeFrom="page">
              <wp:posOffset>51435</wp:posOffset>
            </wp:positionH>
            <wp:positionV relativeFrom="margin">
              <wp:posOffset>-646430</wp:posOffset>
            </wp:positionV>
            <wp:extent cx="567055" cy="7150735"/>
            <wp:wrapSquare wrapText="bothSides"/>
            <wp:docPr id="297" name="Shape 29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" name="Picture box 298"/>
                    <pic:cNvPicPr/>
                  </pic:nvPicPr>
                  <pic:blipFill>
                    <a:blip r:embed="rId236"/>
                    <a:stretch/>
                  </pic:blipFill>
                  <pic:spPr>
                    <a:xfrm>
                      <a:ext cx="567055" cy="715073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а-распад,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p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-распад, спонтанное деление атомных ядер и протон</w:t>
        <w:softHyphen/>
        <w:t>ный распад. Кроме того, предсказаны, но еще не наблюдались двухпротонный и двухнейтронный радиоактивный распад.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процессов радиоактивного распада ядер (и элементар</w:t>
        <w:softHyphen/>
        <w:t>ных частиц) характерен экспоненциальный закон уменьшения во времени среднего числа активных ядер. Этот закон отражает независимость распада отдельного ядра от остальных ядер. Обычно продолжительность жизни радиоактивных ядер харак</w:t>
        <w:softHyphen/>
        <w:t xml:space="preserve">теризуют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периодом полураспада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(Т1/2) — промежутком времени, на протяжении которого число радиоактивных ядер уменьшает</w:t>
        <w:softHyphen/>
        <w:t>ся в среднем вдвое: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Т1/2 = 0,693 • т = 0,693/л,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40"/>
        <w:ind w:left="320" w:right="0" w:hanging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где т — среднее время жизни радиоактивного ядра; X — постоянная радиоактивного распада.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Графическое представление о периоде полураспада и пример радиоактивного распада ядер атома углерода-14 приведены на рис. 19.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33" w:lineRule="auto"/>
        <w:ind w:left="0" w:right="0"/>
        <w:jc w:val="both"/>
        <w:sectPr>
          <w:headerReference w:type="default" r:id="rId238"/>
          <w:footerReference w:type="default" r:id="rId239"/>
          <w:headerReference w:type="even" r:id="rId240"/>
          <w:footerReference w:type="even" r:id="rId241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089" w:right="354" w:bottom="567" w:left="1754" w:header="0" w:footer="3" w:gutter="0"/>
          <w:cols w:space="720"/>
          <w:noEndnote/>
          <w:rtlGutter w:val="0"/>
          <w:docGrid w:linePitch="360"/>
        </w:sectPr>
      </w:pPr>
      <w:r>
        <w:drawing>
          <wp:anchor distT="12700" distB="650240" distL="114300" distR="2448560" simplePos="0" relativeHeight="125829406" behindDoc="0" locked="0" layoutInCell="1" allowOverlap="1">
            <wp:simplePos x="0" y="0"/>
            <wp:positionH relativeFrom="page">
              <wp:posOffset>1136650</wp:posOffset>
            </wp:positionH>
            <wp:positionV relativeFrom="margin">
              <wp:posOffset>3889375</wp:posOffset>
            </wp:positionV>
            <wp:extent cx="1621790" cy="1889760"/>
            <wp:wrapTopAndBottom/>
            <wp:docPr id="303" name="Shape 30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" name="Picture box 304"/>
                    <pic:cNvPicPr/>
                  </pic:nvPicPr>
                  <pic:blipFill>
                    <a:blip r:embed="rId242"/>
                    <a:stretch/>
                  </pic:blipFill>
                  <pic:spPr>
                    <a:xfrm>
                      <a:ext cx="1621790" cy="188976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36830" distB="501015" distL="1802765" distR="114300" simplePos="0" relativeHeight="125829407" behindDoc="0" locked="0" layoutInCell="1" allowOverlap="1">
            <wp:simplePos x="0" y="0"/>
            <wp:positionH relativeFrom="page">
              <wp:posOffset>2825115</wp:posOffset>
            </wp:positionH>
            <wp:positionV relativeFrom="margin">
              <wp:posOffset>3913505</wp:posOffset>
            </wp:positionV>
            <wp:extent cx="2267585" cy="2018030"/>
            <wp:wrapTopAndBottom/>
            <wp:docPr id="305" name="Shape 30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" name="Picture box 306"/>
                    <pic:cNvPicPr/>
                  </pic:nvPicPr>
                  <pic:blipFill>
                    <a:blip r:embed="rId244"/>
                    <a:stretch/>
                  </pic:blipFill>
                  <pic:spPr>
                    <a:xfrm>
                      <a:ext cx="2267585" cy="201803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503316484" behindDoc="0" locked="0" layoutInCell="1" allowOverlap="1">
                <wp:simplePos x="0" y="0"/>
                <wp:positionH relativeFrom="page">
                  <wp:posOffset>1685290</wp:posOffset>
                </wp:positionH>
                <wp:positionV relativeFrom="margin">
                  <wp:posOffset>6068695</wp:posOffset>
                </wp:positionV>
                <wp:extent cx="2856230" cy="259080"/>
                <wp:wrapNone/>
                <wp:docPr id="307" name="Shape 307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856230" cy="25908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6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i/>
                                <w:iCs/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Рис. 19.</w:t>
                            </w:r>
                            <w:r>
                              <w:rPr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 xml:space="preserve"> Кривая зависимости количества ядер радиоактивных элементов от времени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33" type="#_x0000_t202" style="position:absolute;margin-left:132.69999999999999pt;margin-top:477.85000000000002pt;width:224.90000000000001pt;height:20.400000000000002pt;z-index:251657731;mso-wrap-distance-left:0;mso-wrap-distance-right:0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4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66" w:lineRule="auto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Рис. 19.</w:t>
                      </w:r>
                      <w:r>
                        <w:rPr>
                          <w:b/>
                          <w:bCs/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 xml:space="preserve"> Кривая зависимости количества ядер радиоактивных элементов от времени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Коэффициент А. (лямбда) представляет собой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постоянную ра</w:t>
        <w:softHyphen/>
        <w:t>диоактивного распада,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которая характеризует вероятность распа</w:t>
        <w:softHyphen/>
        <w:t>да в единицу времени и показывает, какая доля от общего числа атомов изотопа в источнике распадается каждую секунду. Так, например, если источник содержит 10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6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атомов радионуклида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(N),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 каждую секунду распадается 1/1000 всех атомов (А. = 0,001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или 1 х Ю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-3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), то активность источника (А) составляет 10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6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х 10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-3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= = 10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3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расп./с = 1 кБк.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Чем больше постоянная радиоактивного распада, тем быст</w:t>
        <w:softHyphen/>
        <w:t xml:space="preserve">рее распадается радионуклид. Каждый радиоактивный изотоп имеет свои постоянные значения X и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Tj/2-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Количество радиоактивных веществ в образце всегда опре</w:t>
        <w:softHyphen/>
        <w:t>деляют по косвенному показателю — по интенсивности испу</w:t>
        <w:softHyphen/>
        <w:t>скаемых образцом ионизирующих излучений. Если исследуемый образец заражен радионуклидами, являющимися источниками у-излучения, то поглощение излучения самим образцом незна</w:t>
        <w:softHyphen/>
        <w:t>чительно, а сам образец может иметь большие размеры (напри</w:t>
        <w:softHyphen/>
        <w:t>мер, так определяется зараженность организма человека у-излу- чателями). Содержание в веществе радионуклидов а- и р-излу- чателей приходится определять, вследствие короткого пробега в веществе а- и р-частиц, измеряя излучение, исходящее от очень тонких слоев исследуемых проб.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Мощность экспозиционной дозы у-излучения, исходящего от радиоактивного источника, можно определить зная иониза</w:t>
        <w:softHyphen/>
        <w:t xml:space="preserve">ционную у-постоянную данного радионуклида.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Ионизационная </w:t>
      </w:r>
      <w:r>
        <w:rPr>
          <w:i/>
          <w:iCs/>
          <w:spacing w:val="0"/>
          <w:w w:val="100"/>
          <w:position w:val="0"/>
          <w:shd w:val="clear" w:color="auto" w:fill="auto"/>
          <w:lang w:val="en-US" w:eastAsia="en-US" w:bidi="en-US"/>
        </w:rPr>
        <w:t>jf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-постоянная радионуклида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(Ку) — это мощность экспозици</w:t>
        <w:softHyphen/>
        <w:t>онной дозы в Р/ч, создаваемой точечным изотопным источни</w:t>
        <w:softHyphen/>
        <w:t>ком у-излучения активностью 1 мКи на расстоянии 1 см. Со</w:t>
        <w:softHyphen/>
        <w:t>ответственно, единицей измерения данной величины будет Р • см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/ (мКи • ч) (рентген на квадратный сантиметр, деленный на милликюри в час).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33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Значение Ку для источника, активность которого известна, можно определить экспериментально, если измерить мощность дозы на определенном расстоянии от него: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pos="509" w:val="left"/>
        </w:tabs>
        <w:bidi w:val="0"/>
        <w:spacing w:before="0" w:after="0" w:line="134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„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PR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2</w:t>
        <w:br/>
      </w:r>
      <w:r>
        <w:rPr>
          <w:color w:val="8A8A8A"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’’у </w:t>
      </w:r>
      <w:r>
        <w:rPr>
          <w:color w:val="8A8A8A"/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=</w:t>
      </w:r>
      <w:r>
        <w:rPr>
          <w:color w:val="8A8A8A"/>
          <w:spacing w:val="0"/>
          <w:w w:val="100"/>
          <w:position w:val="0"/>
          <w:shd w:val="clear" w:color="auto" w:fill="auto"/>
          <w:lang w:val="ru-RU" w:eastAsia="ru-RU" w:bidi="ru-RU"/>
        </w:rPr>
        <w:tab/>
        <w:t>- I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40" w:line="134" w:lineRule="auto"/>
        <w:ind w:left="0" w:right="0" w:firstLine="0"/>
        <w:jc w:val="center"/>
      </w:pPr>
      <w:r>
        <w:rPr>
          <w:color w:val="8A8A8A"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’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80" w:line="295" w:lineRule="auto"/>
        <w:ind w:left="320" w:right="0" w:hanging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где Р — мощность экспозиционной дозы, Р/ч;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расстояние от источника у-излу- чения, см; А — активность источника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y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-излучения, мКи.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решения обратной задачи (определения мощности дозы на заданном расстоянии от источника, если известны актив</w:t>
        <w:softHyphen/>
        <w:t>ность и у-постоянная), используют соотношение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0" w:line="134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Р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_АК,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33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R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2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 </w:t>
      </w:r>
      <w:r>
        <w:rPr>
          <w:color w:val="8A8A8A"/>
          <w:spacing w:val="0"/>
          <w:w w:val="100"/>
          <w:position w:val="0"/>
          <w:shd w:val="clear" w:color="auto" w:fill="auto"/>
          <w:lang w:val="ru-RU" w:eastAsia="ru-RU" w:bidi="ru-RU"/>
        </w:rPr>
        <w:t>'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40" w:line="288" w:lineRule="auto"/>
        <w:ind w:left="320" w:right="0" w:hanging="32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15" w:right="1073" w:bottom="815" w:left="104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где А — активность источника у-излучения, мКи; К, — ионизационная у-постоянная радионуклида, Р • см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/ (мКи • ч);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— расстояние от источника у-излучения.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Мощности дозы от источников у-излучения, имеющих раз</w:t>
        <w:softHyphen/>
        <w:t xml:space="preserve">личные ионизационные у-постоянные, сравнивают используя точечный источник 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226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Ra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активностью 1 мКи с фильтром из пла</w:t>
        <w:softHyphen/>
        <w:t>тины толщиной 0,5 мм, находящийся в равновесии со своими продуктами распада. В этих условиях на расстоянии 1 см от ис</w:t>
        <w:softHyphen/>
        <w:t>точника создается мощность экспозиционной дозы, равная 8,4 Р/ч. Ионизационное действие любого радионуклида оценивают сравнением его с ионизационным действием радиевого эталон</w:t>
        <w:softHyphen/>
        <w:t>ного источника при одинаковых условиях измерения и выража</w:t>
        <w:softHyphen/>
        <w:t xml:space="preserve">ют в миллиграмм-эквиваленте радия (мг-экв.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Ra)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или грамм-эк</w:t>
        <w:softHyphen/>
        <w:t xml:space="preserve">виваленте радия (г-экв.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Ra).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Активность любого радионуклида, создающая такую же мощность экспозиционной дозы у-излуче</w:t>
        <w:softHyphen/>
        <w:t xml:space="preserve">ния, как и 1 мг (1 мКи) радия, при равных условиях, называют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«миллиграмм-эквивалент радия».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у-Эквивалент любого радионуклида определяется из соотно</w:t>
        <w:softHyphen/>
        <w:t>шения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Ку •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Q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= 8,4 • т,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28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 наоборот,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m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= Ку •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Q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/ 8,4,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20"/>
        <w:ind w:left="320" w:right="0" w:hanging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где К, — у-постоянная любого радионуклида, Р • см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/ (мКи • ч);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Q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его активность, мКи;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m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активность, выраженная в мг-экв.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Ra.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Рассматривавшиеся до сих пор понятия и соотношения определялись физическими свойствами отдельных радионукли</w:t>
        <w:softHyphen/>
        <w:t>дов. Доза облучения человека при поступлении в организм ра</w:t>
        <w:softHyphen/>
        <w:t>диоактивных веществ зависит также и от особенностей поведе</w:t>
        <w:softHyphen/>
        <w:t>ния радионуклидов в организме: их распределения по органам, скорости выведения и т. д.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28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86" w:right="519" w:bottom="886" w:left="161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Так, например, снижение концентрации радионуклида в ор</w:t>
        <w:softHyphen/>
        <w:t>гане (или организме) после однократного его поступления зави</w:t>
        <w:softHyphen/>
        <w:t xml:space="preserve">сит не только от процессов радиоактивного распада изотопа, но и от интенсивности его биологического выведения. Время, за которое из органа выводится половина содержавшегося в нем количества радионуклида, получило наименование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периода био</w:t>
        <w:softHyphen/>
        <w:t>логического полувыведения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(Т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биол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). Однако более важное практи</w:t>
        <w:softHyphen/>
        <w:t xml:space="preserve">ческое значение имеет знание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эффективного периода полувыведе</w:t>
        <w:softHyphen/>
        <w:t>ния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(Т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Э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фф) — показателя, учитывающего уменьшение содержа</w:t>
        <w:softHyphen/>
        <w:t>ния радионуклида в органе за счет совместного влияния как радиоактивного распада конкретного изотопа (Т]/2), так и его биологического выведения: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Т”эфф. 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=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"Г-1/2 • Тбиол / (1~1/2 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+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Тбиол.)-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 w:firstLine="7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Кроме того, для оценки дозы облучения человека в результа</w:t>
        <w:softHyphen/>
        <w:t>те внутреннего заражения отдельными радиоактивными вещест</w:t>
        <w:softHyphen/>
        <w:t xml:space="preserve">вами применяют установленные опытным путем и в результате сложных расчетов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дозовые коэффициенты,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отражающие значение эффективной дозы, формирующейся за период времени до пол- </w:t>
      </w:r>
      <w:r>
        <w:rPr>
          <w:color w:val="8A8A8A"/>
          <w:spacing w:val="0"/>
          <w:w w:val="100"/>
          <w:position w:val="0"/>
          <w:shd w:val="clear" w:color="auto" w:fill="auto"/>
          <w:lang w:val="ru-RU" w:eastAsia="ru-RU" w:bidi="ru-RU"/>
        </w:rPr>
        <w:t>|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ного выведения радиоактивного вещества из организма. Едини</w:t>
        <w:softHyphen/>
        <w:t>цей измерения данной величины служит зиверт, деленный на беккерель (Зв/Бк). Значения дозовых коэффициентов приведе</w:t>
        <w:softHyphen/>
        <w:t>ны в соответствующих таблицах, в частности в таблицах прило</w:t>
        <w:softHyphen/>
        <w:t>жений к НРБ-99/2009.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520" w:line="233" w:lineRule="auto"/>
        <w:ind w:left="42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Знание дозовых коэффициентов позволяет, например, рас</w:t>
        <w:softHyphen/>
        <w:t>считать пределы годового поступления в организм отдельных ра</w:t>
        <w:softHyphen/>
        <w:t>дионуклидов, которые бы обеспечили непревышение установ</w:t>
        <w:softHyphen/>
        <w:t>ленного предела дозы. Например, если предел дозы для лиц из населения принят в 1 мЗв (10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-3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Зв) в год, предел годового по</w:t>
        <w:softHyphen/>
        <w:t xml:space="preserve">ступления в организм 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137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Cs,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дозовый коэффициент для которого принят равным 4,8 • 10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-9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Зв/Бк, составит 10~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3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/ 4,8 • 10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-9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= = 2,1 • 10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5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Бк.</w:t>
      </w:r>
    </w:p>
    <w:p>
      <w:pPr>
        <w:pStyle w:val="Style34"/>
        <w:keepNext w:val="0"/>
        <w:keepLines w:val="0"/>
        <w:widowControl w:val="0"/>
        <w:numPr>
          <w:ilvl w:val="1"/>
          <w:numId w:val="79"/>
        </w:numPr>
        <w:shd w:val="clear" w:color="auto" w:fill="auto"/>
        <w:tabs>
          <w:tab w:pos="499" w:val="left"/>
        </w:tabs>
        <w:bidi w:val="0"/>
        <w:spacing w:before="0" w:after="200" w:line="276" w:lineRule="auto"/>
        <w:ind w:left="0" w:right="0" w:firstLine="0"/>
        <w:jc w:val="center"/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>ФАКТОРЫ, ОПРЕДЕЛЯЮЩИЕ ДОЗУ ОБЛУЧЕНИЯ,</w:t>
        <w:br/>
        <w:t>ПОГЛОЩЕННУЮ ПРИ РАДИОАКТИВНОМ ЗАРАЖЕНИИ,</w:t>
        <w:br/>
        <w:t>И ЕЕ БИОЛОГИЧЕСКИЙ ЭФФЕКТ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42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Поражающее действие РВ при непосредственном контакте с ор</w:t>
        <w:softHyphen/>
        <w:t>ганизмом практически полностью определяется испускаемым при их распаде а-, р- или у-излучением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footnoteReference w:id="8"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60" w:line="233" w:lineRule="auto"/>
        <w:ind w:left="42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7363" w:h="12269"/>
          <w:pgMar w:top="1114" w:right="610" w:bottom="972" w:left="5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 и в случае внешнего воздействия радиации, основным фактором, определяющим величину биологического эффекта при радиоактивном заражении, является количество энергии из</w:t>
        <w:softHyphen/>
        <w:t xml:space="preserve">лучения, поглощенное в единице массы облучаемого объекта, —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поглощенная доза.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Однако в случае радиоактивного заражения поглощенная доза не может быть измерена непосредственно. Она будет нарастать в течение всего времени контакта с ра</w:t>
        <w:softHyphen/>
        <w:t>диоактивным веществом. Поэтому величину радиоактивного заражения характеризуют прежде всего таким показателем, как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drawing>
          <wp:anchor distT="0" distB="0" distL="114300" distR="114300" simplePos="0" relativeHeight="125829408" behindDoc="0" locked="0" layoutInCell="1" allowOverlap="1">
            <wp:simplePos x="0" y="0"/>
            <wp:positionH relativeFrom="page">
              <wp:posOffset>501650</wp:posOffset>
            </wp:positionH>
            <wp:positionV relativeFrom="margin">
              <wp:posOffset>0</wp:posOffset>
            </wp:positionV>
            <wp:extent cx="182880" cy="7632065"/>
            <wp:wrapSquare wrapText="bothSides"/>
            <wp:docPr id="309" name="Shape 30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" name="Picture box 310"/>
                    <pic:cNvPicPr/>
                  </pic:nvPicPr>
                  <pic:blipFill>
                    <a:blip r:embed="rId246"/>
                    <a:stretch/>
                  </pic:blipFill>
                  <pic:spPr>
                    <a:xfrm>
                      <a:ext cx="182880" cy="763206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Мощности дозы от источников у-излучения, имеющих раз</w:t>
        <w:softHyphen/>
        <w:t xml:space="preserve">личные ионизационные у-постоянные, сравнивают используя точечный источник 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226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Ra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активностью 1 мКи с фильтром из пла</w:t>
        <w:softHyphen/>
        <w:t>тины толщиной 0,5 мм, находящийся в равновесии со своими продуктами распада. В этих условиях на расстоянии 1 см от ис</w:t>
        <w:softHyphen/>
        <w:t>точника создается мощность экспозиционной дозы, равная 8,4 Р/ч. Ионизационное действие любого радионуклида оценивают сравнением его с ионизационным действием радиевого эталон</w:t>
        <w:softHyphen/>
        <w:t>ного источника при одинаковых условиях измерения и выража</w:t>
        <w:softHyphen/>
        <w:t xml:space="preserve">ют в миллиграмм-эквиваленте радия (мг-экв.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Ra)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или грамм-эк</w:t>
        <w:softHyphen/>
        <w:t xml:space="preserve">виваленте радия (г-экв.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Ra).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Активность любого радионуклида, создающая такую же мощность экспозиционной дозы у-излуче</w:t>
        <w:softHyphen/>
        <w:t xml:space="preserve">ния, как и 1 мг (1 мКи) радия, при равных условиях, называют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^миллиграмм-эквивалент радия».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у-Эквивалент любого радионуклида определяется из соотно</w:t>
        <w:softHyphen/>
        <w:t>шения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у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•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Q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= 8,4 • т,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28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 наоборот,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m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= К, •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Q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/ 8,4,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20" w:line="262" w:lineRule="auto"/>
        <w:ind w:left="320" w:right="0" w:hanging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где Ку — у-постоянная любого радионуклида, Р • см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/ (мКи • ч);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Q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его активность, мКи;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m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активность, выраженная в мг-экв.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Ra.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Рассматривавшиеся до сих пор понятия и соотношения определялись физическими свойствами отдельных радионукли</w:t>
        <w:softHyphen/>
        <w:t>дов. Доза облучения человека при поступлении в организм ра</w:t>
        <w:softHyphen/>
        <w:t>диоактивных веществ зависит также и от особенностей поведе</w:t>
        <w:softHyphen/>
        <w:t>ния радионуклидов в организме: их распределения по органам, скорости выведения и т. д.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28" w:lineRule="auto"/>
        <w:ind w:left="0" w:right="0"/>
        <w:jc w:val="both"/>
        <w:sectPr>
          <w:headerReference w:type="default" r:id="rId248"/>
          <w:footerReference w:type="default" r:id="rId249"/>
          <w:headerReference w:type="even" r:id="rId250"/>
          <w:footerReference w:type="even" r:id="rId251"/>
          <w:footnotePr>
            <w:pos w:val="pageBottom"/>
            <w:numFmt w:val="chicago"/>
            <w:numRestart w:val="continuous"/>
            <w15:footnoteColumns w:val="1"/>
          </w:footnotePr>
          <w:pgSz w:w="8515" w:h="12312"/>
          <w:pgMar w:top="144" w:right="352" w:bottom="731" w:left="189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Так, например, снижение концентрации радионуклида в ор</w:t>
        <w:softHyphen/>
        <w:t>гане (или организме) после однократного его поступления зави</w:t>
        <w:softHyphen/>
        <w:t xml:space="preserve">сит не только от процессов радиоактивного распада изотопа, но и от интенсивности его биологического выведения. Время, за которое из органа выводится половина содержавшегося в нем количества радионуклида, получило наименование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периода био</w:t>
        <w:softHyphen/>
        <w:t>логического полувыведения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(Т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биол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). Однако более важное практи</w:t>
        <w:softHyphen/>
        <w:t xml:space="preserve">ческое значение имеет знание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эффективного периода полувыведе</w:t>
        <w:softHyphen/>
        <w:t>ния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(Т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Э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фф) — показателя, учитывающего уменьшение содержа</w:t>
        <w:softHyphen/>
        <w:t>ния радионуклида в органе за счет совместного влияния как радиоактивного распада конкретного изотопа (Т1/2), так и его биологического выведения:</w:t>
      </w:r>
    </w:p>
    <w:p>
      <w:pPr>
        <w:widowControl w:val="0"/>
        <w:jc w:val="right"/>
        <w:rPr>
          <w:sz w:val="2"/>
          <w:szCs w:val="2"/>
        </w:rPr>
      </w:pPr>
      <w:r>
        <w:drawing>
          <wp:inline>
            <wp:extent cx="4352290" cy="865505"/>
            <wp:docPr id="315" name="Picutre 31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" name="Picture 315"/>
                    <pic:cNvPicPr/>
                  </pic:nvPicPr>
                  <pic:blipFill>
                    <a:blip r:embed="rId252"/>
                    <a:stretch/>
                  </pic:blipFill>
                  <pic:spPr>
                    <a:xfrm>
                      <a:ext cx="4352290" cy="86550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Кроме того, для оценки дозы облучения человека в результа</w:t>
        <w:softHyphen/>
        <w:t>те внутреннего заражения отдельными радиоактивными вещест</w:t>
        <w:softHyphen/>
        <w:t xml:space="preserve">вами применяют установленные опытным путем и в результате сложных расчетов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дозовые коэффициенты,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отражающие значение эффективной дозы, формирующейся за период времени до пол</w:t>
        <w:softHyphen/>
        <w:t>ного выведения радиоактивного вещества из организма. Едини</w:t>
        <w:softHyphen/>
        <w:t>цей измерения данной величины служит зиверт, деленный на беккерель (Зв/Бк). Значения дозовых коэффициентов приведе</w:t>
        <w:softHyphen/>
        <w:t>ны в соответствующих таблицах, в частности в таблицах прило</w:t>
        <w:softHyphen/>
        <w:t>жений к НРБ-99/2009.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520" w:line="233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Знание дозовых коэффициентов позволяет, например, рас</w:t>
        <w:softHyphen/>
        <w:t>считать пределы годового поступления в организм отдельных ра</w:t>
        <w:softHyphen/>
        <w:t>дионуклидов, которые бы обеспечили непревышение установ</w:t>
        <w:softHyphen/>
        <w:t>ленного предела дозы. Например, если предел дозы для лиц из населения принят в 1 мЗв (10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-3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Зв) в год, предел годового по</w:t>
        <w:softHyphen/>
        <w:t xml:space="preserve">ступления в организм 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I37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Cs,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дозовый коэффициент для которого принят равным 4,8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footnoteReference w:id="9"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10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-9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Зв/Бк, составит 10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-3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/ 4,8 ■ 10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-9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= = 2,1 • 10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5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Бк.</w:t>
      </w:r>
    </w:p>
    <w:p>
      <w:pPr>
        <w:pStyle w:val="Style34"/>
        <w:keepNext w:val="0"/>
        <w:keepLines w:val="0"/>
        <w:widowControl w:val="0"/>
        <w:numPr>
          <w:ilvl w:val="1"/>
          <w:numId w:val="81"/>
        </w:numPr>
        <w:shd w:val="clear" w:color="auto" w:fill="auto"/>
        <w:tabs>
          <w:tab w:pos="486" w:val="left"/>
        </w:tabs>
        <w:bidi w:val="0"/>
        <w:spacing w:before="0" w:after="200" w:line="276" w:lineRule="auto"/>
        <w:ind w:left="0" w:right="0" w:firstLine="0"/>
        <w:jc w:val="center"/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>ФАКТОРЫ, ОПРЕДЕЛЯЮЩИЕ ДОЗУ ОБЛУЧЕНИЯ,</w:t>
        <w:br/>
        <w:t>ПОГЛОЩЕННУЮ ПРИ РАДИОАКТИВНОМ ЗАРАЖЕНИИ,</w:t>
        <w:br/>
        <w:t>И ЕЕ БИОЛОГИЧЕСКИЙ ЭФФЕКТ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Поражающее действие РВ при непосредственном контакте с ор</w:t>
        <w:softHyphen/>
        <w:t>ганизмом практически полностью определяется испускаемым при их распаде а-, р- или у-излучением*.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00" w:line="233" w:lineRule="auto"/>
        <w:ind w:left="0" w:right="0"/>
        <w:jc w:val="both"/>
        <w:sectPr>
          <w:headerReference w:type="default" r:id="rId254"/>
          <w:footerReference w:type="default" r:id="rId255"/>
          <w:headerReference w:type="even" r:id="rId256"/>
          <w:footerReference w:type="even" r:id="rId257"/>
          <w:footnotePr>
            <w:pos w:val="pageBottom"/>
            <w:numFmt w:val="chicago"/>
            <w:numRestart w:val="continuous"/>
            <w15:footnoteColumns w:val="1"/>
          </w:footnotePr>
          <w:pgSz w:w="8515" w:h="12312"/>
          <w:pgMar w:top="125" w:right="1049" w:bottom="927" w:left="118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 и в случае внешнего воздействия радиации, основным фактором, определяющим величину биологического эффекта при радиоактивном заражении, является количество энергии из</w:t>
        <w:softHyphen/>
        <w:t xml:space="preserve">лучения, поглощенное в единице массы облучаемого объекта, —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поглощенная доза.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Однако в случае радиоактивного заражения поглощенная доза не может быть измерена непосредственно. Она будет нарастать в течение всего времени контакта с ра</w:t>
        <w:softHyphen/>
        <w:t>диоактивным веществом. Поэтому величину радиоактивного заражения характеризуют прежде всего таким показателем, как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drawing>
          <wp:anchor distT="0" distB="0" distL="114300" distR="114300" simplePos="0" relativeHeight="125829409" behindDoc="0" locked="0" layoutInCell="1" allowOverlap="1">
            <wp:simplePos x="0" y="0"/>
            <wp:positionH relativeFrom="page">
              <wp:posOffset>265430</wp:posOffset>
            </wp:positionH>
            <wp:positionV relativeFrom="margin">
              <wp:posOffset>0</wp:posOffset>
            </wp:positionV>
            <wp:extent cx="274320" cy="7613650"/>
            <wp:wrapSquare wrapText="bothSides"/>
            <wp:docPr id="320" name="Shape 32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" name="Picture box 321"/>
                    <pic:cNvPicPr/>
                  </pic:nvPicPr>
                  <pic:blipFill>
                    <a:blip r:embed="rId258"/>
                    <a:stretch/>
                  </pic:blipFill>
                  <pic:spPr>
                    <a:xfrm>
                      <a:ext cx="274320" cy="761365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активность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. Этим термином называют меру количества радио</w:t>
        <w:softHyphen/>
        <w:t>активного вещества, выражаемую числом радиоактивных пре</w:t>
        <w:softHyphen/>
        <w:t>вращений в единицу времени, иными словами, число атомов, распадающихся в единицу времени. Чем выше активность ра</w:t>
        <w:softHyphen/>
        <w:t>дионуклида, тем мощнее поток испускаемой энергии, тем силь</w:t>
        <w:softHyphen/>
        <w:t>нее ионизация и тем выше поглощенная за определенный про</w:t>
        <w:softHyphen/>
        <w:t>межуток времени доза.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Величина поглощенной при контакте с РВ дозы зависит так</w:t>
        <w:softHyphen/>
        <w:t xml:space="preserve">же от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вида излучения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энергии испускаемых частиц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квантов.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Чем выше энергия частиц или квантов, тем больше актов иони</w:t>
        <w:softHyphen/>
        <w:t>зации может быть ими вызвано.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Важной характеристикой радионуклида является также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пери</w:t>
        <w:softHyphen/>
        <w:t>од полураспада,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который у разных изотопов может колебаться от ничтожных долей секунды до сотен тысяч лет. При поступлении в организм короткоживущего изотопа его активность, а с нею и мощность дозы испускаемого излучения быстро снижаются; при поступлении долгоживущего эти показатели уменьшаются го</w:t>
        <w:softHyphen/>
        <w:t>раздо медленнее. Если исходные активности одинаковы, погло</w:t>
        <w:softHyphen/>
        <w:t>щенная доза во втором случае оказывается гораздо выше. При заражении осколками ядерного деления с увеличением их возра</w:t>
        <w:softHyphen/>
        <w:t>ста увеличивается относительное содержание в смеси долгожи</w:t>
        <w:softHyphen/>
        <w:t>вущих изотопов. Поэтому в случае поступления в организм оди</w:t>
        <w:softHyphen/>
        <w:t>наковых активностей «молодых» и «старых» продуктов ядерного взрыва при прочих равных условиях во втором случае поглощен</w:t>
        <w:softHyphen/>
        <w:t>ная доза, а следовательно, и вредное действие окажутся выше. По тем же причинам продукты выбросов при авариях ядерных реакторов, содержащие большее количество «старых» продуктов деления, опаснее продуктов ядерных взрывов при одной и той же активности.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Кроме того, на дозу облучения, поглощенную вследствие за</w:t>
        <w:softHyphen/>
        <w:t xml:space="preserve">ражения радиоактивными продуктами, существенное влияние оказывают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скорость их выведения из организма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скорость осво</w:t>
        <w:softHyphen/>
        <w:t>бождения от них кожных покровов.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  <w:sectPr>
          <w:headerReference w:type="default" r:id="rId260"/>
          <w:footerReference w:type="default" r:id="rId261"/>
          <w:headerReference w:type="even" r:id="rId262"/>
          <w:footerReference w:type="even" r:id="rId263"/>
          <w:footnotePr>
            <w:pos w:val="pageBottom"/>
            <w:numFmt w:val="chicago"/>
            <w:numRestart w:val="continuous"/>
            <w15:footnoteColumns w:val="1"/>
          </w:footnotePr>
          <w:pgSz w:w="8515" w:h="12312"/>
          <w:pgMar w:top="134" w:right="590" w:bottom="832" w:left="165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Реализация возможности вызвать облучение тканей и орга</w:t>
        <w:softHyphen/>
        <w:t xml:space="preserve">нов и тем самым оказать повреждающее действие на биосубстрат в значительной степени определяется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путями поступления радио</w:t>
        <w:softHyphen/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нуклида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организм, а также его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биодоступностью,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на которую влияют физико-химические свойства радионуклида, в частности степень дисперсности, растворимость в средах организма, а от</w:t>
        <w:softHyphen/>
        <w:t>сюда, и всасываемость. Так, продукты наземного или подземно</w:t>
        <w:softHyphen/>
        <w:t>го ядерных взрывов в силу условий их образования оказываются связанными с частицами грунта, песка, шлака, и вредное их дей</w:t>
        <w:softHyphen/>
        <w:t>ствие при поступлении в организм существенно ограничивается прочностью этой связи. Прочность связи радионуклидов с носи</w:t>
        <w:softHyphen/>
        <w:t>телями, размеры частиц определяют и количество РВ, проник</w:t>
        <w:softHyphen/>
        <w:t>ших во внутреннюю среду организма. При ингаляционном по</w:t>
        <w:softHyphen/>
        <w:t>ступлении эти факторы определяют долю РВ, оседающих на стенках дыхательной трубки, а затем отхаркивающихся, при али</w:t>
        <w:softHyphen/>
        <w:t xml:space="preserve">ментарном пути заражения </w:t>
      </w:r>
      <w:r>
        <w:rPr>
          <w:color w:val="8A8A8A"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долю РВ, проходящую организм «транзитом».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Биологический эффект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поглощенной организмом в результате заражения РВ дозы может существенно зависеть от продолжите</w:t>
        <w:softHyphen/>
        <w:t>льности облучения, свойств излучения и распределения радио</w:t>
        <w:softHyphen/>
        <w:t>нуклидов в организме.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Продолжительность облучения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зависит от длительности по</w:t>
        <w:softHyphen/>
        <w:t>ступления, периода полураспада и интенсивности выведения ра</w:t>
        <w:softHyphen/>
        <w:t>дионуклида, что, в свою очередь, определяет кратковременное, подострое или хроническое облучение. Поскольку облучение при внутреннем радиоактивном заражении чаще всего растянуто во времени, большое значение для развития поражения, как и при внешнем продолжительном облучении, имеет мощность дозы. Чем она выше, тем раньше появляются и быстрее прогрессируют патологические проявления, тем на более глубоком уровне пора</w:t>
        <w:softHyphen/>
        <w:t>жения происходят компенсация и стабилизация состояния. В поздние сроки от мощности дозы зависит степень угнетения восстановительных процессов. Кроме того, динамика формиро</w:t>
        <w:softHyphen/>
        <w:t>вания поглощенной вследствие инкорпорации РВ дозы зависит от путей поступления радионуклида в организм, от продолжи</w:t>
        <w:softHyphen/>
        <w:t>тельности и ритма поступления.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Так же как и для внешнего облучения, опасность внутреннего радиоактивного заражения сильно зависит от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свойств излучения,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прежде всего его относительной биологической эффективности. В частности, при поступлении внутрь организма особенно опас</w:t>
        <w:softHyphen/>
        <w:t>ны а-излучатели, а при заражении кожных покровов — р-излу- чатели.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  <w:sectPr>
          <w:headerReference w:type="default" r:id="rId264"/>
          <w:footerReference w:type="default" r:id="rId265"/>
          <w:headerReference w:type="even" r:id="rId266"/>
          <w:footerReference w:type="even" r:id="rId267"/>
          <w:footnotePr>
            <w:pos w:val="pageBottom"/>
            <w:numFmt w:val="chicago"/>
            <w:numRestart w:val="continuous"/>
            <w15:footnoteColumns w:val="1"/>
          </w:footnotePr>
          <w:pgSz w:w="7450" w:h="12312"/>
          <w:pgMar w:top="1152" w:right="672" w:bottom="981" w:left="499" w:header="724" w:footer="3" w:gutter="0"/>
          <w:cols w:space="720"/>
          <w:noEndnote/>
          <w:rtlGutter w:val="0"/>
          <w:docGrid w:linePitch="360"/>
        </w:sectPr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Особенности распределения радионуклидов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определенных ор</w:t>
        <w:softHyphen/>
        <w:t>ганах и тканях определяют неравномерность облучения, которая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силу малой проникающей способности р- и, особенно, а-час- тиц может достигать нескольких порядков. Кроме того, в усло</w:t>
        <w:softHyphen/>
        <w:t>виях внутреннего облучения существенным фактором, опреде</w:t>
        <w:softHyphen/>
        <w:t>ляющим биологический эффект радиационного воздействия, является значение для организма преимущественно облучаемого органа и степень его радиочувствительности.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Биологическое действие радионуклидов может также зави</w:t>
        <w:softHyphen/>
        <w:t>сеть от их вхождения в состав химических соединений, избира</w:t>
        <w:softHyphen/>
        <w:t>тельно связывающихся определенными биологически важными микроструктурами клеток. Так, при одной и той же активности тритий (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3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Н) в составе молекулы воды в 30 раз менее опасен, чем тот же тритий, входящий в молекулу тимидина, способную включаться в ядерную ДНК.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52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Некоторое значение в биологическом действии отдельных радионуклидов может иметь их способность замещать в биоло</w:t>
        <w:softHyphen/>
        <w:t>гических субстратах стабильные атомы. Распад может превра</w:t>
        <w:softHyphen/>
        <w:t>тить эти изотопы в элементы соседних групп Периодической си</w:t>
        <w:softHyphen/>
        <w:t>стемы, что изменит химическую структуру и свойства молекулы. Однако чаще в результате распада вошедшего в структуру моле</w:t>
        <w:softHyphen/>
        <w:t>кулы изотопа и радиоактивной отдачи происходит разрушение всей молекулы.</w:t>
      </w:r>
    </w:p>
    <w:p>
      <w:pPr>
        <w:pStyle w:val="Style44"/>
        <w:keepNext/>
        <w:keepLines/>
        <w:widowControl w:val="0"/>
        <w:numPr>
          <w:ilvl w:val="1"/>
          <w:numId w:val="81"/>
        </w:numPr>
        <w:shd w:val="clear" w:color="auto" w:fill="auto"/>
        <w:tabs>
          <w:tab w:pos="433" w:val="left"/>
        </w:tabs>
        <w:bidi w:val="0"/>
        <w:spacing w:before="0" w:after="260" w:line="228" w:lineRule="auto"/>
        <w:ind w:left="0" w:right="0" w:firstLine="0"/>
        <w:jc w:val="center"/>
      </w:pPr>
      <w:bookmarkStart w:id="70" w:name="bookmark70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КИНЕТИКА РАДИОНУКЛИДОВ В ОРГАНИЗМЕ</w:t>
      </w:r>
      <w:bookmarkEnd w:id="70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bookmarkStart w:id="72" w:name="bookmark72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У многих радионуклидов существенная в биологическом отно</w:t>
        <w:softHyphen/>
        <w:t>шении активность содержится в очень малом количестве веще</w:t>
        <w:softHyphen/>
        <w:t xml:space="preserve">ства. Так, масса 50 мкКи 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210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Ро (доза, при поступлении которой в организм человека можно ожидать развития глубоких наруше</w:t>
        <w:softHyphen/>
        <w:t xml:space="preserve">ний функций печени и почек) составляет всего 12 нг, а 1 мКи 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90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Sr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(СД50/30 для крыс) содержится в 8 мкг этого изотопа. Даже трудно растворимые соединения радионуклидов в столь малых количествах часто оказываются в растворе в виде ионов, что зна</w:t>
        <w:softHyphen/>
        <w:t>чительно облегчает их проникновение через биологические ба</w:t>
        <w:softHyphen/>
        <w:t>рьеры, всасывание и распространение по организму.</w:t>
      </w:r>
      <w:bookmarkEnd w:id="72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28" w:lineRule="auto"/>
        <w:ind w:left="0" w:right="0"/>
        <w:jc w:val="both"/>
        <w:sectPr>
          <w:headerReference w:type="default" r:id="rId268"/>
          <w:footerReference w:type="default" r:id="rId269"/>
          <w:headerReference w:type="even" r:id="rId270"/>
          <w:footerReference w:type="even" r:id="rId271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49" w:right="602" w:bottom="849" w:left="1490" w:header="421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Во внутренние среды организма РВ могут попасть ингаляци- онно, через стенки желудочно-кишечного тракта, травматиче</w:t>
        <w:softHyphen/>
        <w:t>ские и ожоговые повреждения, а также через неповрежденную кожу. Основными путями поступления радионуклидов являют</w:t>
        <w:softHyphen/>
        <w:t>ся ингаляционный (от вдыхания загрязненного РВ воздуха) и пероральный (вследствие потребления загрязненных радионук-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260" w:right="0" w:firstLine="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лидами продуктов питания и воды). Значительно реже РВ про</w:t>
        <w:softHyphen/>
        <w:t>никают в организм через раны, через неповрежденную кожу ра</w:t>
        <w:softHyphen/>
        <w:t>дионуклиды практически не поступают.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6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Общая поверхность альвеол составляет около 100 м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, что приблизительно в 50 раз превышает поверхность кожи, и при контакте с аэрозолями РВ, радиоактивными газами и парами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ингаляционный путь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заражения является основным. На количе</w:t>
        <w:softHyphen/>
        <w:t>ство РВ, остающееся в органах дыхания после выдоха, влияют аэродинамические свойства аэрозоля (откладываются в легких преимущественно частицы диаметром от 0,01 до 1 мкм) и анато</w:t>
        <w:softHyphen/>
        <w:t>мо-физиологические особенности дыхательной системы, в част</w:t>
        <w:softHyphen/>
        <w:t>ности соотношение размеров альвеолярных и бронхиальных по</w:t>
        <w:softHyphen/>
        <w:t>верхностей, минутный объем легких, частота дыхания, скорость I движения воздуха по дыхательным путям.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6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расчета дозовых нагрузок на органы дыхания при инга- I ляции РВ, если отсутствуют данные прямых определений, может быть использована модель, разработанная МКРЗ. Принимается, что 25% попавших в органы дыхания частиц выдыхается. Если оставшиеся после выдоха РВ принять за 100%, то ретроградному выносу подвергается 50% из них: эффективный период полувы</w:t>
        <w:softHyphen/>
        <w:t>ведения по этому пути (Т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Э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фф) составляет 20 суток. На долю ре</w:t>
        <w:softHyphen/>
        <w:t>зорбции растворимых частиц приходится 25% (Т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Э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фф = 1 ч). Ра</w:t>
        <w:softHyphen/>
        <w:t>дионуклиды, захваченные макрофагами и ретроградно вынесен</w:t>
        <w:softHyphen/>
        <w:t>ные в глотку, составляют 15% (Т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Э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</w:t>
      </w:r>
      <w:r>
        <w:rPr>
          <w:spacing w:val="0"/>
          <w:w w:val="100"/>
          <w:position w:val="0"/>
          <w:shd w:val="clear" w:color="auto" w:fill="auto"/>
          <w:vertAlign w:val="subscript"/>
          <w:lang w:val="ru-RU" w:eastAsia="ru-RU" w:bidi="ru-RU"/>
        </w:rPr>
        <w:t>ф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= 6 месяцев). Около 10% радионуклидов, захваченных фагоцитами, перемещаются через альвеолярную мембрану с периодом полувыведения около не</w:t>
        <w:softHyphen/>
        <w:t>скольких дней. Небольшая часть РВ задерживается в паренхиме легких, эпителиальных клетках: период полувыведения из них составляет около 600 суток. Еще прочнее фиксация РВ в брон</w:t>
        <w:softHyphen/>
        <w:t>хо-легочных лимфатических узлах, куда они попадают с фагоци</w:t>
        <w:softHyphen/>
        <w:t>тами. Если иметь в виду продукты наземных или подземных ядерных взрывов, в основном прочно связанные с крупными ча</w:t>
        <w:softHyphen/>
        <w:t>стицами носителей, доля радионуклидов, удаляемых из органов дыхания и поступающих в желудочно-кишечный тракт, выше: до 80—90% таких РВ при ингаляционном поступлении уже через несколько часов оказываются в желудке.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260" w:right="0"/>
        <w:jc w:val="both"/>
        <w:sectPr>
          <w:headerReference w:type="default" r:id="rId272"/>
          <w:footerReference w:type="default" r:id="rId273"/>
          <w:headerReference w:type="even" r:id="rId274"/>
          <w:footerReference w:type="even" r:id="rId275"/>
          <w:footnotePr>
            <w:pos w:val="pageBottom"/>
            <w:numFmt w:val="chicago"/>
            <w:numRestart w:val="continuous"/>
            <w15:footnoteColumns w:val="1"/>
          </w:footnotePr>
          <w:pgSz w:w="7406" w:h="12283"/>
          <w:pgMar w:top="1037" w:right="700" w:bottom="1037" w:left="158" w:header="609" w:footer="3" w:gutter="0"/>
          <w:pgNumType w:start="127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ингаляции в легких остается до 75% радионуклидов, из них более половины реснитчатым эпителием выводятся из брон</w:t>
        <w:softHyphen/>
        <w:t>хов, заглатываются и попадают в желудочно-кишечный тракт. Остальное количество попавших в легкие РВ частично фагоци-</w:t>
      </w:r>
    </w:p>
    <w:p>
      <w:pPr>
        <w:widowControl w:val="0"/>
        <w:spacing w:line="1" w:lineRule="exact"/>
      </w:pPr>
      <w:r>
        <w:drawing>
          <wp:anchor distT="0" distB="0" distL="76200" distR="76200" simplePos="0" relativeHeight="125829410" behindDoc="0" locked="0" layoutInCell="1" allowOverlap="1">
            <wp:simplePos x="0" y="0"/>
            <wp:positionH relativeFrom="page">
              <wp:posOffset>5029200</wp:posOffset>
            </wp:positionH>
            <wp:positionV relativeFrom="paragraph">
              <wp:posOffset>12700</wp:posOffset>
            </wp:positionV>
            <wp:extent cx="292735" cy="3627120"/>
            <wp:wrapSquare wrapText="bothSides"/>
            <wp:docPr id="338" name="Shape 33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" name="Picture box 339"/>
                    <pic:cNvPicPr/>
                  </pic:nvPicPr>
                  <pic:blipFill>
                    <a:blip r:embed="rId276"/>
                    <a:stretch/>
                  </pic:blipFill>
                  <pic:spPr>
                    <a:xfrm>
                      <a:ext cx="292735" cy="362712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тируются, поступают в регионарные легочные лимфатические узлы, а часть из них проникают через альвеолы в кровь.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Второй основной путь поступления РВ в организм —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перораль</w:t>
        <w:softHyphen/>
        <w:t>ный.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Поступление через органы желудочно-кишечного тракта может произойти с радионуклидами как непосредственно после их попадания во внешнюю среду, так и после прохождения по биологическим цепочкам. Поражающее действие при алимен</w:t>
        <w:softHyphen/>
        <w:t>тарном поступлении РВ связано как с лучевой нагрузкой на стенку пищеварительного тракта, так и с их всасыванием в кровь и лимфу.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Продвижение радионуклидов по желудочно-кишечному тракту не имеет каких-то особенностей по сравнению с нерадиоак</w:t>
        <w:softHyphen/>
        <w:t>тивными веществами, содержащимися в пище. Всасывание хорошо растворимых радионуклидов происходит в основном в тонкой кишке, значительно меньше РВ всасывается в желуд</w:t>
        <w:softHyphen/>
        <w:t>ке, а всасывание в толстой кишке практического значения не имеет. Наиболее интенсивно и полно резорбируются раство</w:t>
        <w:softHyphen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римые радионуклиды щелочных металлов и галоидов, а изото пы редкоземельных элементов, плутония, трансурановых эле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ментов всасываются в кишке в пределах нескольких сотых — десятитысячных долей процента от поступившего количества. Всосавшиеся радионуклиды могут повторно и неоднократно поступать в желудочно-кишечный тракт с желчью и кишечны</w:t>
        <w:softHyphen/>
        <w:t>ми соками и дополнительно облучать его слизистую оболочку. Все сказанное полностью относится и к РВ, вторично попав</w:t>
        <w:softHyphen/>
        <w:t>шим в желудочно- кишечный тракт после ингаляционного по</w:t>
        <w:softHyphen/>
        <w:t>ступления.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Нерастворимые и малорастворимые у-излучатели облучают кишечник и другие органы брюшной полости, а р-излучатели — только слизистую оболочку кишки, в основном до выведения их с калом, в течение примерно 30 ч. Однако в криптах кишечника РВ могут задерживаться в течение длительного времени, форми</w:t>
        <w:softHyphen/>
        <w:t>руя высокие локальные дозы.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Еще один из возможных путей поступления РВ в организм человека —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перкутанный.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Большинство радиоактивных веществ практически не проникают через неповрежденную кожу. Исклю</w:t>
        <w:softHyphen/>
        <w:t>чение составляют окись трития, йод, нитрат и фторид уранила, а также полоний, но коэффициенты резорбции в этих случаях составляют сотые и тысячные доли единицы.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  <w:sectPr>
          <w:headerReference w:type="default" r:id="rId278"/>
          <w:footerReference w:type="default" r:id="rId279"/>
          <w:headerReference w:type="even" r:id="rId280"/>
          <w:footerReference w:type="even" r:id="rId281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40" w:right="710" w:bottom="560" w:left="1416" w:header="0" w:footer="3" w:gutter="0"/>
          <w:pgNumType w:start="129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Гораздо большее практическое значение имеет всасывание РВ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через раневые и ожоговые поверхности.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Основную опасность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220" w:right="0" w:firstLine="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представляет резорбция высокотоксичных радионуклидов (на</w:t>
        <w:softHyphen/>
        <w:t>пример, полония), которая у растворимых РВ может достигать десятков процентов от общего количества, поступившего в рану. Опасные количества РВ могут поступить не только через колотые или резаные раны, но и через небольшие царапины и ссадины. Всасывание через них щелочных, щелочноземель</w:t>
        <w:softHyphen/>
        <w:t>ных элементов и галоидов в 100—200 раз превышает резорбцию через неповрежденную кожу. Всасывание с поверхности ран трудно растворимых РВ (в том числе продуктов ядерного взры</w:t>
        <w:softHyphen/>
        <w:t>ва) происходит медленнее и в значительно меньшем количест</w:t>
        <w:softHyphen/>
        <w:t>ве, но все же в сотни раз интенсивнее, чем через неповрежден</w:t>
        <w:softHyphen/>
        <w:t>ную кожу.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5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Большая часть попавших в организм ингаляционным, пер</w:t>
        <w:softHyphen/>
        <w:t>оральным, перкутанным путем или через раневые (ожоговые) поверхности РВ в дальнейшем всасывается в кровь, где значи</w:t>
        <w:softHyphen/>
        <w:t xml:space="preserve">тельная часть радионуклидов связывается протеинами. По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спо-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I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собности всасываться из легких и кишечника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радиоактивные ве</w:t>
        <w:softHyphen/>
        <w:t>щества подразделяются на четыре группы:</w:t>
      </w:r>
    </w:p>
    <w:p>
      <w:pPr>
        <w:pStyle w:val="Style34"/>
        <w:keepNext w:val="0"/>
        <w:keepLines w:val="0"/>
        <w:widowControl w:val="0"/>
        <w:numPr>
          <w:ilvl w:val="0"/>
          <w:numId w:val="83"/>
        </w:numPr>
        <w:shd w:val="clear" w:color="auto" w:fill="auto"/>
        <w:tabs>
          <w:tab w:pos="786" w:val="left"/>
        </w:tabs>
        <w:bidi w:val="0"/>
        <w:spacing w:before="0" w:after="0" w:line="218" w:lineRule="auto"/>
        <w:ind w:left="72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обладающие высокой степенью резорбции — 75—100% (1311, 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137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Cs);</w:t>
      </w:r>
    </w:p>
    <w:p>
      <w:pPr>
        <w:pStyle w:val="Style34"/>
        <w:keepNext w:val="0"/>
        <w:keepLines w:val="0"/>
        <w:widowControl w:val="0"/>
        <w:numPr>
          <w:ilvl w:val="0"/>
          <w:numId w:val="83"/>
        </w:numPr>
        <w:shd w:val="clear" w:color="auto" w:fill="auto"/>
        <w:tabs>
          <w:tab w:pos="782" w:val="left"/>
        </w:tabs>
        <w:bidi w:val="0"/>
        <w:spacing w:before="0" w:after="0" w:line="228" w:lineRule="auto"/>
        <w:ind w:left="72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обладающие значительной резорбцией — в легких 25—50%, в желудочно-кишечном тракте 10—30%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(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90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Sr, 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226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Ra);</w:t>
      </w:r>
    </w:p>
    <w:p>
      <w:pPr>
        <w:pStyle w:val="Style34"/>
        <w:keepNext w:val="0"/>
        <w:keepLines w:val="0"/>
        <w:widowControl w:val="0"/>
        <w:numPr>
          <w:ilvl w:val="0"/>
          <w:numId w:val="83"/>
        </w:numPr>
        <w:shd w:val="clear" w:color="auto" w:fill="auto"/>
        <w:tabs>
          <w:tab w:pos="782" w:val="left"/>
        </w:tabs>
        <w:bidi w:val="0"/>
        <w:spacing w:before="0" w:after="0" w:line="230" w:lineRule="auto"/>
        <w:ind w:left="72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обладающие умеренной (1—10%) резорбцией в кишечнике и значительным (25—30%) всасыванием в легких (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2,0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Ро,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W);</w:t>
      </w:r>
    </w:p>
    <w:p>
      <w:pPr>
        <w:pStyle w:val="Style34"/>
        <w:keepNext w:val="0"/>
        <w:keepLines w:val="0"/>
        <w:widowControl w:val="0"/>
        <w:numPr>
          <w:ilvl w:val="0"/>
          <w:numId w:val="83"/>
        </w:numPr>
        <w:shd w:val="clear" w:color="auto" w:fill="auto"/>
        <w:tabs>
          <w:tab w:pos="786" w:val="left"/>
        </w:tabs>
        <w:bidi w:val="0"/>
        <w:spacing w:before="0" w:after="0" w:line="230" w:lineRule="auto"/>
        <w:ind w:left="72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практически не всасывающиеся в кишечнике и хорошо (20—25%) резорбируемые в легких (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239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Ри).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5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Часть радионуклидов, попавших в кровь, выводится из орга- 1 низма, другая часть проникает в органы и депонируется в них.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220" w:right="0" w:firstLine="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Резорбция плохо растворимых соединений РВ происходит в основном по лимфатическим путям, в результате чего радионук</w:t>
        <w:softHyphen/>
        <w:t>лиды накапливаются в лимфатических узлах и, в меньшей степе</w:t>
        <w:softHyphen/>
        <w:t>ни, органах ретикуло-эндотелиальной системы. Последствия ре</w:t>
        <w:softHyphen/>
        <w:t>зорбции радионуклидов связаны с избирательной тропностью тех или иных изотопов к отдельным органам и тканям, вследст</w:t>
        <w:softHyphen/>
        <w:t>вие чего возникают новообразования, лейкозы, системные забо</w:t>
        <w:softHyphen/>
        <w:t>левания и т. д.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220" w:right="0"/>
        <w:jc w:val="both"/>
        <w:sectPr>
          <w:headerReference w:type="default" r:id="rId282"/>
          <w:footerReference w:type="default" r:id="rId283"/>
          <w:headerReference w:type="even" r:id="rId284"/>
          <w:footerReference w:type="even" r:id="rId285"/>
          <w:footnotePr>
            <w:pos w:val="pageBottom"/>
            <w:numFmt w:val="chicago"/>
            <w:numRestart w:val="continuous"/>
            <w15:footnoteColumns w:val="1"/>
          </w:footnotePr>
          <w:pgSz w:w="7310" w:h="12288"/>
          <w:pgMar w:top="1027" w:right="696" w:bottom="1014" w:left="106" w:header="599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По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способности преимущественно накапливаться в тех или иных органах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выделяют следующие основные группы радиоак</w:t>
        <w:softHyphen/>
        <w:t>тивных веществ: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♦ Радионуклиды, избирательно откладывающиеся в костях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(«остеотропные»): изотопы щелочноземельных элементов (ра</w:t>
        <w:softHyphen/>
        <w:t>дий, стронций, барий, кальций), а также некоторые соединения плутония и тория. Поражения, развивающиеся при поступлении в организм остеотропных радионуклидов, характеризуются из</w:t>
        <w:softHyphen/>
        <w:t>менениями прежде всего кроветворной и костной систем. В на</w:t>
        <w:softHyphen/>
        <w:t>чальные сроки после массивных поступлений патологический процесс может напоминать острую лучевую болезнь от внешнего облучения. В более поздние сроки, в том числе и после инкорпо</w:t>
        <w:softHyphen/>
        <w:t>рации сравнительно небольших активностей, обнаруживаются костные опухоли, лейкозы.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♦ Радионуклиды, избирательно накапливающиеся в органах, богатых элементами ретикуло-эндотелиальной системы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(«гепа- тотропные»): изотопы редкоземельных элементов (лантан, це</w:t>
        <w:softHyphen/>
        <w:t>рий, прометий, празеодим), а также актиний, торий и некоторые соединения плутония. При их поступлении наблюдаются пора</w:t>
        <w:softHyphen/>
        <w:t>жения печени, проксимальных отделов кишки (эти элементы, выделяясь с желчью, реабсорбируются в кишечнике и поэтому могут неоднократно контактировать со слизистой оболочкой тонкой кишки). В более поздние сроки наблюдаются циррозы, опухоли печени. Могут проявиться также опухоли скелета, желез внутренней секреции и опухоли другой локализации.</w:t>
      </w:r>
    </w:p>
    <w:p>
      <w:pPr>
        <w:pStyle w:val="Style34"/>
        <w:keepNext w:val="0"/>
        <w:keepLines w:val="0"/>
        <w:widowControl w:val="0"/>
        <w:numPr>
          <w:ilvl w:val="0"/>
          <w:numId w:val="85"/>
        </w:numPr>
        <w:shd w:val="clear" w:color="auto" w:fill="auto"/>
        <w:tabs>
          <w:tab w:pos="553" w:val="left"/>
        </w:tabs>
        <w:bidi w:val="0"/>
        <w:spacing w:before="0" w:after="0" w:line="228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Радионуклиды, относительно равномерно распределяющиеся по организму: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изотопы щелочных металлов (цезия, калия, на</w:t>
        <w:softHyphen/>
        <w:t>трия, рубидия), водорода, углерода, азота, а также полоний. При их поступлении поражения носят диффузный характер: развива</w:t>
        <w:softHyphen/>
        <w:t>ется атрофия лимфоидной ткани, в том числе селезенки, атро</w:t>
        <w:softHyphen/>
        <w:t>фия семенников, нарушения функции мышц (при поступлении радиоактивного цезия). В поздние сроки наблюдаются опухоли мягких тканей: молочных желез, кишечника, почек и т. п.</w:t>
      </w:r>
    </w:p>
    <w:p>
      <w:pPr>
        <w:pStyle w:val="Style34"/>
        <w:keepNext w:val="0"/>
        <w:keepLines w:val="0"/>
        <w:widowControl w:val="0"/>
        <w:numPr>
          <w:ilvl w:val="0"/>
          <w:numId w:val="85"/>
        </w:numPr>
        <w:shd w:val="clear" w:color="auto" w:fill="auto"/>
        <w:tabs>
          <w:tab w:pos="553" w:val="left"/>
        </w:tabs>
        <w:bidi w:val="0"/>
        <w:spacing w:before="0" w:after="0" w:line="228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Радионуклиды с избирательным накоплением в отдельных органах: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131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1 — в щитовидной железе, 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59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Fe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в эритроцитах, 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65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Zn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— в поджелудочной железе, "Мо — в радужной оболочке глаза. Наибольшее практическое значение имеют радиоактив</w:t>
        <w:softHyphen/>
        <w:t>ные изотопы йода, избирательно накапливающиеся в щитовид</w:t>
        <w:softHyphen/>
        <w:t>ной железе. При их поступлении в большом количестве сначала наблюдается стимуляция, а позже угнетение функции щитовид</w:t>
        <w:softHyphen/>
        <w:t>ной железы, в поздние сроки развиваются опухоли этого органа.</w:t>
      </w:r>
    </w:p>
    <w:p>
      <w:pPr>
        <w:pStyle w:val="Style34"/>
        <w:keepNext w:val="0"/>
        <w:keepLines w:val="0"/>
        <w:widowControl w:val="0"/>
        <w:numPr>
          <w:ilvl w:val="0"/>
          <w:numId w:val="85"/>
        </w:numPr>
        <w:shd w:val="clear" w:color="auto" w:fill="auto"/>
        <w:tabs>
          <w:tab w:pos="553" w:val="left"/>
        </w:tabs>
        <w:bidi w:val="0"/>
        <w:spacing w:before="0" w:after="0" w:line="228" w:lineRule="auto"/>
        <w:ind w:left="0" w:right="0"/>
        <w:jc w:val="both"/>
        <w:sectPr>
          <w:headerReference w:type="default" r:id="rId286"/>
          <w:footerReference w:type="default" r:id="rId287"/>
          <w:headerReference w:type="even" r:id="rId288"/>
          <w:footerReference w:type="even" r:id="rId289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14" w:right="444" w:bottom="833" w:left="1682" w:header="386" w:footer="3" w:gutter="0"/>
          <w:cols w:space="720"/>
          <w:noEndnote/>
          <w:rtlGutter w:val="0"/>
          <w:docGrid w:linePitch="360"/>
        </w:sectPr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Плохо резорбирующиеся радионуклиды,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которые являются причиной возникновения местных процессов, локализующихся в зависимости от путей поступления РВ.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26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Попавшие в организм РВ могут выводиться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через почки, желудочно-кишечный тракт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(в том числе с желчью),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легкие,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а также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со слюной, молоком, потом.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большинстве случаев основ</w:t>
        <w:softHyphen/>
        <w:t>ные количества радиоактивных веществ экскретируются с калом и мочой.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6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 калом преимущественно выводятся РВ, поступившие али</w:t>
        <w:softHyphen/>
        <w:t>ментарным путем, а также и при ингаляционном заражении и вторичном заглатывании частиц, вынесенных ретроградно в глотку. Некоторые растворимые радионуклиды могут выделяться с желчью и другими пищеварительными соками и также выводи</w:t>
        <w:softHyphen/>
        <w:t>ться с калом. В желудочно-кишечном тракте процессы экскре</w:t>
        <w:softHyphen/>
        <w:t>ции РВ постоянно сопровождаются процессами их реабсорбции. При выведении радионуклидов преимущественно с мочой, вы</w:t>
        <w:softHyphen/>
        <w:t xml:space="preserve">сокая доза облучения может быть получена почками. Выведение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с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выдыхаемым воздухом имеет существенное значение для три</w:t>
        <w:softHyphen/>
        <w:t>тия, паров окиси трития, радона и торона, образующихся при | распаде поступивших в организм радия и тория.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6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Таким образом, в обмене поступивших в организм радионук- I лидов можно выделить четыре основные стадии:</w:t>
      </w:r>
    </w:p>
    <w:p>
      <w:pPr>
        <w:pStyle w:val="Style34"/>
        <w:keepNext w:val="0"/>
        <w:keepLines w:val="0"/>
        <w:widowControl w:val="0"/>
        <w:numPr>
          <w:ilvl w:val="0"/>
          <w:numId w:val="85"/>
        </w:numPr>
        <w:shd w:val="clear" w:color="auto" w:fill="auto"/>
        <w:tabs>
          <w:tab w:pos="1094" w:val="left"/>
        </w:tabs>
        <w:bidi w:val="0"/>
        <w:spacing w:before="0" w:after="0" w:line="240" w:lineRule="auto"/>
        <w:ind w:left="76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образование на месте поступления первичного депо (кожа, раны, слизистые оболочки желудочно-кишечного тракта, верхних дыхательных путей);</w:t>
      </w:r>
    </w:p>
    <w:p>
      <w:pPr>
        <w:pStyle w:val="Style34"/>
        <w:keepNext w:val="0"/>
        <w:keepLines w:val="0"/>
        <w:widowControl w:val="0"/>
        <w:numPr>
          <w:ilvl w:val="0"/>
          <w:numId w:val="85"/>
        </w:numPr>
        <w:shd w:val="clear" w:color="auto" w:fill="auto"/>
        <w:tabs>
          <w:tab w:pos="1094" w:val="left"/>
        </w:tabs>
        <w:bidi w:val="0"/>
        <w:spacing w:before="0" w:after="0" w:line="240" w:lineRule="auto"/>
        <w:ind w:left="0" w:right="0" w:firstLine="58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всасывание из мест поступления в кровь или лимфу;</w:t>
      </w:r>
    </w:p>
    <w:p>
      <w:pPr>
        <w:pStyle w:val="Style34"/>
        <w:keepNext w:val="0"/>
        <w:keepLines w:val="0"/>
        <w:widowControl w:val="0"/>
        <w:numPr>
          <w:ilvl w:val="0"/>
          <w:numId w:val="85"/>
        </w:numPr>
        <w:shd w:val="clear" w:color="auto" w:fill="auto"/>
        <w:tabs>
          <w:tab w:pos="1094" w:val="left"/>
        </w:tabs>
        <w:bidi w:val="0"/>
        <w:spacing w:before="0" w:after="0" w:line="240" w:lineRule="auto"/>
        <w:ind w:left="76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депонирование в критическом органе (образование вторич</w:t>
        <w:softHyphen/>
        <w:t>ных депо);</w:t>
      </w:r>
    </w:p>
    <w:p>
      <w:pPr>
        <w:pStyle w:val="Style34"/>
        <w:keepNext w:val="0"/>
        <w:keepLines w:val="0"/>
        <w:widowControl w:val="0"/>
        <w:numPr>
          <w:ilvl w:val="0"/>
          <w:numId w:val="85"/>
        </w:numPr>
        <w:shd w:val="clear" w:color="auto" w:fill="auto"/>
        <w:tabs>
          <w:tab w:pos="1094" w:val="left"/>
        </w:tabs>
        <w:bidi w:val="0"/>
        <w:spacing w:before="0" w:after="0" w:line="240" w:lineRule="auto"/>
        <w:ind w:left="76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выведение различными путями, в том числе и с явлениями рециркуляции.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520" w:line="240" w:lineRule="auto"/>
        <w:ind w:left="260" w:right="0"/>
        <w:jc w:val="both"/>
      </w:pPr>
      <w:bookmarkStart w:id="73" w:name="bookmark73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Продолжительность названных стадий существенно различа</w:t>
        <w:softHyphen/>
        <w:t>ется для различных радионуклидов и их соединений, а также для разных путей поступления РВ в организм.</w:t>
      </w:r>
      <w:bookmarkEnd w:id="73"/>
    </w:p>
    <w:p>
      <w:pPr>
        <w:pStyle w:val="Style44"/>
        <w:keepNext/>
        <w:keepLines/>
        <w:widowControl w:val="0"/>
        <w:numPr>
          <w:ilvl w:val="1"/>
          <w:numId w:val="87"/>
        </w:numPr>
        <w:shd w:val="clear" w:color="auto" w:fill="auto"/>
        <w:tabs>
          <w:tab w:pos="842" w:val="left"/>
        </w:tabs>
        <w:bidi w:val="0"/>
        <w:spacing w:before="0" w:line="240" w:lineRule="auto"/>
        <w:ind w:left="0" w:right="0" w:firstLine="400"/>
        <w:jc w:val="both"/>
      </w:pPr>
      <w:bookmarkStart w:id="74" w:name="bookmark74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БИОЛОГИЧЕСКОЕ ДЕЙСТВИЕ РАДИОАКТИВНЫХ ВЕЩЕСТВ</w:t>
      </w:r>
      <w:bookmarkEnd w:id="74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260" w:right="0" w:firstLine="20"/>
        <w:jc w:val="both"/>
        <w:sectPr>
          <w:headerReference w:type="default" r:id="rId290"/>
          <w:footerReference w:type="default" r:id="rId291"/>
          <w:headerReference w:type="even" r:id="rId292"/>
          <w:footerReference w:type="even" r:id="rId293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791" w:right="1097" w:bottom="837" w:left="766" w:header="363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внутреннем радиоактивном заражении количество посту</w:t>
        <w:softHyphen/>
        <w:t>пивших в организм радионуклидов чаще всего не может создать в течение короткого времени дозы, достаточно высокой для раз</w:t>
        <w:softHyphen/>
        <w:t>вития острого лучевого поражения. В этих случаях более харак</w:t>
        <w:softHyphen/>
        <w:t>терно развитие хронической лучевой болезни.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26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Специфика биологического действия отдельных радионук</w:t>
        <w:softHyphen/>
        <w:t>лидов (отличительные черты поражения, основные патогенети</w:t>
        <w:softHyphen/>
        <w:t>ческие механизмы его развития, причины смерти) определяется в первую очередь поражением одного или нескольких органов, нарушения жизнедеятельности которых могут проявиться отно</w:t>
        <w:softHyphen/>
        <w:t>сительно рано, когда общие реакции и изменения в других сис</w:t>
        <w:softHyphen/>
        <w:t>темах выражены значительно слабее или могут вовсе отсутство</w:t>
        <w:softHyphen/>
        <w:t>вать. Преимущественно поражаемые при внутреннем заражении органы принято называть критическими.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26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При внутреннем радиоактивном заражении концепция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кри</w:t>
        <w:softHyphen/>
        <w:t>тического органа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представляется сложнее, чем при общем внеш</w:t>
        <w:softHyphen/>
        <w:t>нем облучении. В этом случае имеют значение прежде всего осо</w:t>
        <w:softHyphen/>
        <w:t>бенности распределения радионуклидов по органам и тканям (тропность радионуклидов). Важным фактором являются вели</w:t>
        <w:softHyphen/>
        <w:t>чины пороговых повреждающих доз для разных тканей. Весьма существенно значение функционирования органа, по отноше</w:t>
        <w:softHyphen/>
        <w:t>нию к которому имеется повышенная тропность радионуклида, для жизнедеятельности организма.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26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зависимости от физико-химической формы соединения, в состав которого входит радионуклид, особенно от его раствори</w:t>
        <w:softHyphen/>
        <w:t>мости, в роли критических могут выступать различные органы. Так, при ингаляционном поступлении нерастворимых соедине</w:t>
        <w:softHyphen/>
        <w:t>ний элементов из группы остеотропных или равномерно распре</w:t>
        <w:softHyphen/>
        <w:t>деляющихся по телу критическим органом оказываются легкие. В разные сроки после поступления радионуклида в организм распределение его по органам может быть различным, т. е. роль критических могут выполнять различные органы.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26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оценке биологического действия радионуклидов следует учитывать, что быстро обновляющиеся клетки подвергаются при инкорпорации РВ кратковременному облучению, тогда как не- обновляющиеся облучаются в течение всего периода нахожде</w:t>
        <w:softHyphen/>
        <w:t>ния РВ в организме.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26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поступлении радионуклидов в организм в количествах, обеспечивающих накопление в течение короткого срока (неско</w:t>
        <w:softHyphen/>
        <w:t>лько дней) среднетканевой дозы, эквивалентной 1 Гр у-облуче- ния и выше, развивается острое лучевое поражение. При этом в значительной степени утрачивается специфичность действия различных радионуклидов, и поражение во многих чертах напо</w:t>
        <w:softHyphen/>
        <w:t>минает острую лучевую болезнь от внешнего облучения.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260" w:right="0"/>
        <w:jc w:val="both"/>
        <w:sectPr>
          <w:headerReference w:type="default" r:id="rId294"/>
          <w:footerReference w:type="default" r:id="rId295"/>
          <w:headerReference w:type="even" r:id="rId296"/>
          <w:footerReference w:type="even" r:id="rId297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69" w:right="240" w:bottom="861" w:left="1622" w:header="441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Довольно обширны данные о возникновении злокачествен</w:t>
        <w:softHyphen/>
        <w:t>ных новообразований после внутреннего заражения отдельными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260" w:right="0" w:firstLine="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радионуклидами. Так, отмечено возрастание частоты злокачест</w:t>
        <w:softHyphen/>
        <w:t>венных новообразований у больных, которым в течение неско</w:t>
        <w:softHyphen/>
        <w:t>льких лет назначали внутрь небольшие количества радия. Хоро</w:t>
        <w:softHyphen/>
        <w:t>шо известно профессиональное возникновение костных сарком у работниц, занимавшихся нанесением на циферблаты часов светосостава, содержащего радий (во время работы женщины прикасались к губам кисточкой со светосоставом).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26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Ранее в рентгенодиагностике широко применяли в качестве контрастного средства торотраст. Оказалось, что входящий в его состав торий не полностью выводится с мочой, а частично фаго</w:t>
        <w:softHyphen/>
        <w:t>цитируется и откладывается в клетках ретикуло-эндотелиальной системы, в лимфатических узлах, селезенке, печени. «-Излуче</w:t>
        <w:softHyphen/>
        <w:t>ние тория явилось в ряде случаев причиной возникновения сар</w:t>
        <w:softHyphen/>
        <w:t>ком, карцином, лейкемий. Следует также упомянуть высокую частоту возникновения рака легких у шахтеров урановых рудни</w:t>
        <w:softHyphen/>
        <w:t>ков.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520" w:line="233" w:lineRule="auto"/>
        <w:ind w:left="26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Важно также отметить, что среди отдаленных последствий внутреннего радиоактивного заражения значимое место занима</w:t>
        <w:softHyphen/>
        <w:t>ют генетические изменения.</w:t>
      </w:r>
    </w:p>
    <w:p>
      <w:pPr>
        <w:pStyle w:val="Style34"/>
        <w:keepNext w:val="0"/>
        <w:keepLines w:val="0"/>
        <w:widowControl w:val="0"/>
        <w:numPr>
          <w:ilvl w:val="1"/>
          <w:numId w:val="87"/>
        </w:numPr>
        <w:shd w:val="clear" w:color="auto" w:fill="auto"/>
        <w:tabs>
          <w:tab w:pos="529" w:val="left"/>
        </w:tabs>
        <w:bidi w:val="0"/>
        <w:spacing w:before="0" w:after="0" w:line="276" w:lineRule="auto"/>
        <w:ind w:left="0" w:right="0" w:firstLine="0"/>
        <w:jc w:val="center"/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>ЛУЧЕВЫЕ ПОРАЖЕНИЯ В РЕЗУЛЬТАТЕ АЛИМЕНТАРНОГО</w:t>
        <w:br/>
        <w:t>И ИНГАЛЯЦИОННОГО ПОСТУПЛЕНИЯ В ОРГАНИЗМ ПРОДУКТОВ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20" w:line="276" w:lineRule="auto"/>
        <w:ind w:left="0" w:right="0" w:firstLine="0"/>
        <w:jc w:val="center"/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>ЯДЕРНОГО ДЕЛЕНИЯ (ПРОДУКТОВ ЯДЕРНОГО ВЗРЫВА)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260" w:right="0" w:firstLine="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Представления о патогенезе и клинике поражений большими количествами продуктов ядерного деления (ПЯД) основываются в основном на экспериментальных данных. Сложность пробле</w:t>
        <w:softHyphen/>
        <w:t>мы усугубляется тем, что ПЯД характеризуются далеко не про</w:t>
        <w:softHyphen/>
        <w:t>стым составом (табл. 10), а различные компоненты ПЯД отлича</w:t>
        <w:softHyphen/>
        <w:t>ются различными свойствами (табл. 11).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30" w:lineRule="auto"/>
        <w:ind w:left="260" w:right="0"/>
        <w:jc w:val="both"/>
        <w:sectPr>
          <w:headerReference w:type="default" r:id="rId298"/>
          <w:footerReference w:type="default" r:id="rId299"/>
          <w:headerReference w:type="even" r:id="rId300"/>
          <w:footerReference w:type="even" r:id="rId301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23" w:right="1164" w:bottom="823" w:left="698" w:header="395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ранние сроки после поступления молодых (возрастом до 1 суток) ПЯД, даже в количествах, не приводящих к развитию острой лучевой болезни, наиболее значимым для формирования лучевой патологии радионуклидом является радиоактивный йод. После распада радиойода на первое место по биологической значимости становятся радионуклиды цезия и стронция. При поражении ПЯД возрастом от 1 месяца до 1 года относительная доза в щитовидной железе оказывается значительно меньше, а в других органах, особенно в скелете, значительно больше.</w:t>
      </w:r>
    </w:p>
    <w:p>
      <w:pPr>
        <w:widowControl w:val="0"/>
        <w:spacing w:line="1" w:lineRule="exact"/>
      </w:pPr>
      <w:r>
        <mc:AlternateContent>
          <mc:Choice Requires="wps">
            <w:drawing>
              <wp:anchor distT="0" distB="0" distL="76200" distR="76200" simplePos="0" relativeHeight="125829411" behindDoc="0" locked="0" layoutInCell="1" allowOverlap="1">
                <wp:simplePos x="0" y="0"/>
                <wp:positionH relativeFrom="page">
                  <wp:posOffset>478155</wp:posOffset>
                </wp:positionH>
                <wp:positionV relativeFrom="paragraph">
                  <wp:posOffset>12700</wp:posOffset>
                </wp:positionV>
                <wp:extent cx="128270" cy="347345"/>
                <wp:wrapSquare wrapText="bothSides"/>
                <wp:docPr id="364" name="Shape 364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28270" cy="34734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1 30</w:t>
                            </w:r>
                          </w:p>
                        </w:txbxContent>
                      </wps:txbx>
                      <wps:bodyPr upright="1" vert="vert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90" type="#_x0000_t202" style="position:absolute;margin-left:37.649999999999999pt;margin-top:1.pt;width:10.1pt;height:27.350000000000001pt;z-index:-125829342;mso-wrap-distance-left:6.pt;mso-wrap-distance-right:6.pt;mso-position-horizontal-relative:page" filled="f" stroked="f">
                <v:textbox style="layout-flow:vertical" inset="0,0,0,0">
                  <w:txbxContent>
                    <w:p>
                      <w:pPr>
                        <w:pStyle w:val="Style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1 30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125829413" behindDoc="0" locked="0" layoutInCell="1" allowOverlap="1">
                <wp:simplePos x="0" y="0"/>
                <wp:positionH relativeFrom="page">
                  <wp:posOffset>2285365</wp:posOffset>
                </wp:positionH>
                <wp:positionV relativeFrom="paragraph">
                  <wp:posOffset>411480</wp:posOffset>
                </wp:positionV>
                <wp:extent cx="3334385" cy="405130"/>
                <wp:wrapSquare wrapText="bothSides"/>
                <wp:docPr id="366" name="Shape 366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3334385" cy="4051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2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33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  <w:shd w:val="clear" w:color="auto" w:fill="auto"/>
                                <w:lang w:val="ru-RU" w:eastAsia="ru-RU" w:bidi="ru-RU"/>
                              </w:rPr>
                              <w:t>Радионуклиды, вносящие существенный вклад</w:t>
                              <w:br/>
                              <w:t>в облучение организма в целом и его отдельных органов</w:t>
                              <w:br/>
                              <w:t xml:space="preserve">при аварии на АЭС 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(МАГАТЭ, 1981)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92" type="#_x0000_t202" style="position:absolute;margin-left:179.95000000000002pt;margin-top:32.399999999999999pt;width:262.55000000000001pt;height:31.900000000000002pt;z-index:-125829340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2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33" w:lineRule="auto"/>
                        <w:ind w:left="0" w:right="0" w:firstLine="0"/>
                        <w:jc w:val="center"/>
                      </w:pPr>
                      <w:r>
                        <w:rPr>
                          <w:b/>
                          <w:bCs/>
                          <w:spacing w:val="0"/>
                          <w:w w:val="100"/>
                          <w:position w:val="0"/>
                          <w:sz w:val="18"/>
                          <w:szCs w:val="18"/>
                          <w:shd w:val="clear" w:color="auto" w:fill="auto"/>
                          <w:lang w:val="ru-RU" w:eastAsia="ru-RU" w:bidi="ru-RU"/>
                        </w:rPr>
                        <w:t>Радионуклиды, вносящие существенный вклад</w:t>
                        <w:br/>
                        <w:t>в облучение организма в целом и его отдельных органов</w:t>
                        <w:br/>
                        <w:t xml:space="preserve">при аварии на АЭС </w:t>
                      </w: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(МАГАТЭ, 1981)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tbl>
      <w:tblPr>
        <w:tblOverlap w:val="never"/>
        <w:jc w:val="left"/>
        <w:tblLayout w:type="fixed"/>
      </w:tblPr>
      <w:tblGrid>
        <w:gridCol w:w="2002"/>
        <w:gridCol w:w="1363"/>
        <w:gridCol w:w="1925"/>
        <w:gridCol w:w="1358"/>
        <w:gridCol w:w="1925"/>
        <w:gridCol w:w="1402"/>
      </w:tblGrid>
      <w:tr>
        <w:trPr>
          <w:trHeight w:val="1037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Радионуклиды, вносящие существенный вклад в облучение всего тела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Период полураспада, сутки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Радионуклиды, вносящие существенный вклад в облучение щитовидной железы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52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Период полураспада, сутки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Радионуклиды, вносящие существенный вклад в облучение легких и всего тела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52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Период полураспада, сутки</w:t>
            </w:r>
          </w:p>
        </w:tc>
      </w:tr>
      <w:tr>
        <w:trPr>
          <w:trHeight w:val="288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Йод-131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8,04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Йод-131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8,04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Йод-131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8,04</w:t>
            </w:r>
          </w:p>
        </w:tc>
      </w:tr>
      <w:tr>
        <w:trPr>
          <w:trHeight w:val="250" w:hRule="exact"/>
        </w:trPr>
        <w:tc>
          <w:tcPr>
            <w:tcBorders/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Теллур-132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3,258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Йод-132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0,096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Йод-132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0,096</w:t>
            </w:r>
          </w:p>
        </w:tc>
      </w:tr>
      <w:tr>
        <w:trPr>
          <w:trHeight w:val="245" w:hRule="exact"/>
        </w:trPr>
        <w:tc>
          <w:tcPr>
            <w:tcBorders/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Ксенон-133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5,24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Йод-133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0,867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Йод-133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4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0,867</w:t>
            </w:r>
          </w:p>
        </w:tc>
      </w:tr>
      <w:tr>
        <w:trPr>
          <w:trHeight w:val="250" w:hRule="exact"/>
        </w:trPr>
        <w:tc>
          <w:tcPr>
            <w:tcBorders/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Йод-133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0,867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Йод-134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0,0365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Йод-134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4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0,0365</w:t>
            </w:r>
          </w:p>
        </w:tc>
      </w:tr>
      <w:tr>
        <w:trPr>
          <w:trHeight w:val="245" w:hRule="exact"/>
        </w:trPr>
        <w:tc>
          <w:tcPr>
            <w:tcBorders/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Ксенон-135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0,378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Йод-135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0,275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Йод-135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420"/>
              <w:jc w:val="both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0,275</w:t>
            </w:r>
          </w:p>
        </w:tc>
      </w:tr>
      <w:tr>
        <w:trPr>
          <w:trHeight w:val="250" w:hRule="exact"/>
        </w:trPr>
        <w:tc>
          <w:tcPr>
            <w:tcBorders/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Йод-135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0,275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Теллур-132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3,258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Цезий-134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4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752,63</w:t>
            </w:r>
          </w:p>
        </w:tc>
      </w:tr>
      <w:tr>
        <w:trPr>
          <w:trHeight w:val="250" w:hRule="exact"/>
        </w:trPr>
        <w:tc>
          <w:tcPr>
            <w:tcBorders/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Цезий-134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752,63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framePr w:w="9974" w:h="3859" w:hSpace="14" w:vSpace="864" w:wrap="notBeside" w:vAnchor="text" w:hAnchor="text" w:x="25" w:y="865"/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framePr w:w="9974" w:h="3859" w:hSpace="14" w:vSpace="864" w:wrap="notBeside" w:vAnchor="text" w:hAnchor="text" w:x="25" w:y="865"/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Криптон-88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420"/>
              <w:jc w:val="both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0,118</w:t>
            </w:r>
          </w:p>
        </w:tc>
      </w:tr>
      <w:tr>
        <w:trPr>
          <w:trHeight w:val="250" w:hRule="exact"/>
        </w:trPr>
        <w:tc>
          <w:tcPr>
            <w:tcBorders/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Криптон-88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0,118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framePr w:w="9974" w:h="3859" w:hSpace="14" w:vSpace="864" w:wrap="notBeside" w:vAnchor="text" w:hAnchor="text" w:x="25" w:y="865"/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framePr w:w="9974" w:h="3859" w:hSpace="14" w:vSpace="864" w:wrap="notBeside" w:vAnchor="text" w:hAnchor="text" w:x="25" w:y="865"/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Цезий-137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420"/>
              <w:jc w:val="both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10 950</w:t>
            </w:r>
          </w:p>
        </w:tc>
      </w:tr>
      <w:tr>
        <w:trPr>
          <w:trHeight w:val="259" w:hRule="exact"/>
        </w:trPr>
        <w:tc>
          <w:tcPr>
            <w:tcBorders/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Цезий-137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10 950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framePr w:w="9974" w:h="3859" w:hSpace="14" w:vSpace="864" w:wrap="notBeside" w:vAnchor="text" w:hAnchor="text" w:x="25" w:y="865"/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framePr w:w="9974" w:h="3859" w:hSpace="14" w:vSpace="864" w:wrap="notBeside" w:vAnchor="text" w:hAnchor="text" w:x="25" w:y="865"/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Рубидий-106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4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368,2</w:t>
            </w:r>
          </w:p>
        </w:tc>
      </w:tr>
      <w:tr>
        <w:trPr>
          <w:trHeight w:val="254" w:hRule="exact"/>
        </w:trPr>
        <w:tc>
          <w:tcPr>
            <w:tcBorders/>
            <w:shd w:val="clear" w:color="auto" w:fill="auto"/>
            <w:vAlign w:val="top"/>
          </w:tcPr>
          <w:p>
            <w:pPr>
              <w:framePr w:w="9974" w:h="3859" w:hSpace="14" w:vSpace="864" w:wrap="notBeside" w:vAnchor="text" w:hAnchor="text" w:x="25" w:y="865"/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framePr w:w="9974" w:h="3859" w:hSpace="14" w:vSpace="864" w:wrap="notBeside" w:vAnchor="text" w:hAnchor="text" w:x="25" w:y="865"/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framePr w:w="9974" w:h="3859" w:hSpace="14" w:vSpace="864" w:wrap="notBeside" w:vAnchor="text" w:hAnchor="text" w:x="25" w:y="865"/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framePr w:w="9974" w:h="3859" w:hSpace="14" w:vSpace="864" w:wrap="notBeside" w:vAnchor="text" w:hAnchor="text" w:x="25" w:y="865"/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Теллур-132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4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3,258</w:t>
            </w:r>
          </w:p>
        </w:tc>
      </w:tr>
      <w:tr>
        <w:trPr>
          <w:trHeight w:val="283" w:hRule="exact"/>
        </w:trPr>
        <w:tc>
          <w:tcPr>
            <w:tcBorders/>
            <w:shd w:val="clear" w:color="auto" w:fill="auto"/>
            <w:vAlign w:val="top"/>
          </w:tcPr>
          <w:p>
            <w:pPr>
              <w:framePr w:w="9974" w:h="3859" w:hSpace="14" w:vSpace="864" w:wrap="notBeside" w:vAnchor="text" w:hAnchor="text" w:x="25" w:y="865"/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framePr w:w="9974" w:h="3859" w:hSpace="14" w:vSpace="864" w:wrap="notBeside" w:vAnchor="text" w:hAnchor="text" w:x="25" w:y="865"/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framePr w:w="9974" w:h="3859" w:hSpace="14" w:vSpace="864" w:wrap="notBeside" w:vAnchor="text" w:hAnchor="text" w:x="25" w:y="865"/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framePr w:w="9974" w:h="3859" w:hSpace="14" w:vSpace="864" w:wrap="notBeside" w:vAnchor="text" w:hAnchor="text" w:x="25" w:y="865"/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Церий-144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framePr w:w="9974" w:h="3859" w:hSpace="14" w:vSpace="864" w:wrap="notBeside" w:vAnchor="text" w:hAnchor="text" w:x="25" w:y="86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4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284,3</w:t>
            </w:r>
          </w:p>
        </w:tc>
      </w:tr>
    </w:tbl>
    <w:p>
      <w:pPr>
        <w:pStyle w:val="Style71"/>
        <w:keepNext w:val="0"/>
        <w:keepLines w:val="0"/>
        <w:framePr w:w="907" w:h="206" w:hSpace="24" w:wrap="notBeside" w:vAnchor="text" w:hAnchor="text" w:x="9107" w:y="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5"/>
          <w:szCs w:val="15"/>
        </w:rPr>
      </w:pPr>
      <w:r>
        <w:rPr>
          <w:i/>
          <w:iCs/>
          <w:spacing w:val="0"/>
          <w:w w:val="100"/>
          <w:position w:val="0"/>
          <w:sz w:val="15"/>
          <w:szCs w:val="15"/>
          <w:shd w:val="clear" w:color="auto" w:fill="auto"/>
          <w:lang w:val="ru-RU" w:eastAsia="ru-RU" w:bidi="ru-RU"/>
        </w:rPr>
        <w:t>Таблица 10</w:t>
      </w:r>
    </w:p>
    <w:p>
      <w:pPr>
        <w:widowControl w:val="0"/>
        <w:spacing w:line="1" w:lineRule="exact"/>
      </w:pP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908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Таблица 11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center"/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>Основные показатели, определяющие биологическое действие продуктов ядерного распада</w:t>
        <w:br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(по А. В. Попову, 1985)</w:t>
      </w:r>
    </w:p>
    <w:tbl>
      <w:tblPr>
        <w:tblOverlap w:val="never"/>
        <w:jc w:val="center"/>
        <w:tblLayout w:type="fixed"/>
      </w:tblPr>
      <w:tblGrid>
        <w:gridCol w:w="1786"/>
        <w:gridCol w:w="1526"/>
        <w:gridCol w:w="1531"/>
        <w:gridCol w:w="1526"/>
        <w:gridCol w:w="1526"/>
        <w:gridCol w:w="2078"/>
      </w:tblGrid>
      <w:tr>
        <w:trPr>
          <w:trHeight w:val="677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Изотопы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1"/>
                <w:szCs w:val="11"/>
                <w:shd w:val="clear" w:color="auto" w:fill="auto"/>
                <w:lang w:val="en-US" w:eastAsia="en-US" w:bidi="en-US"/>
              </w:rPr>
              <w:t>Tl/2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1"/>
                <w:szCs w:val="11"/>
                <w:shd w:val="clear" w:color="auto" w:fill="auto"/>
                <w:lang w:val="ru-RU" w:eastAsia="ru-RU" w:bidi="ru-RU"/>
              </w:rPr>
              <w:t>Тбмол.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1"/>
                <w:szCs w:val="11"/>
                <w:shd w:val="clear" w:color="auto" w:fill="auto"/>
                <w:lang w:val="ru-RU" w:eastAsia="ru-RU" w:bidi="ru-RU"/>
              </w:rPr>
              <w:t>Тэфф.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Критический орган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Поступление в критический орган при заглатывании, %</w:t>
            </w:r>
          </w:p>
        </w:tc>
      </w:tr>
      <w:tr>
        <w:trPr>
          <w:trHeight w:val="490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4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Йод-135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66 ч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120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6,6 ч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Щитовидная железа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20</w:t>
            </w:r>
          </w:p>
        </w:tc>
      </w:tr>
      <w:tr>
        <w:trPr>
          <w:trHeight w:val="302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4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Йод-134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52 мин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120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52 мин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То же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20</w:t>
            </w:r>
          </w:p>
        </w:tc>
      </w:tr>
      <w:tr>
        <w:trPr>
          <w:trHeight w:val="307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4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Йод-133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20,8 ч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120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20,6 ч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 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20</w:t>
            </w:r>
          </w:p>
        </w:tc>
      </w:tr>
      <w:tr>
        <w:trPr>
          <w:trHeight w:val="302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4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Йод-132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2,4 ч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120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2,4 ч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» 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20</w:t>
            </w:r>
          </w:p>
        </w:tc>
      </w:tr>
      <w:tr>
        <w:trPr>
          <w:trHeight w:val="302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Йод-131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8,14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120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40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7,5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» 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20</w:t>
            </w:r>
          </w:p>
        </w:tc>
      </w:tr>
      <w:tr>
        <w:trPr>
          <w:trHeight w:val="307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4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Стронций-89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53 дня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11 лет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52 дня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Кости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25</w:t>
            </w:r>
          </w:p>
        </w:tc>
      </w:tr>
      <w:tr>
        <w:trPr>
          <w:trHeight w:val="298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4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Стронций-90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28 лет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 лет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7 лет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То же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25</w:t>
            </w:r>
          </w:p>
        </w:tc>
      </w:tr>
      <w:tr>
        <w:trPr>
          <w:trHeight w:val="302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0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Иттрий-90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28 лет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 лет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7 лет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» 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25</w:t>
            </w:r>
          </w:p>
        </w:tc>
      </w:tr>
      <w:tr>
        <w:trPr>
          <w:trHeight w:val="307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0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Ниобий-95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35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50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21 день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» 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13</w:t>
            </w:r>
          </w:p>
        </w:tc>
      </w:tr>
      <w:tr>
        <w:trPr>
          <w:trHeight w:val="302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0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Барий-140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12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200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12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» 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7</w:t>
            </w:r>
          </w:p>
        </w:tc>
      </w:tr>
      <w:tr>
        <w:trPr>
          <w:trHeight w:val="307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Лантан-140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12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200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12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» 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7</w:t>
            </w:r>
          </w:p>
        </w:tc>
      </w:tr>
      <w:tr>
        <w:trPr>
          <w:trHeight w:val="302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0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Церий-144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575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500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40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180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» »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0,04</w:t>
            </w:r>
          </w:p>
        </w:tc>
      </w:tr>
      <w:tr>
        <w:trPr>
          <w:trHeight w:val="302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3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Празеодим-144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575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500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40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180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 в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0,04</w:t>
            </w:r>
          </w:p>
        </w:tc>
      </w:tr>
      <w:tr>
        <w:trPr>
          <w:trHeight w:val="341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0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Цезий-137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30 лет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140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40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138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Мышцы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0,4</w:t>
            </w:r>
          </w:p>
        </w:tc>
      </w:tr>
    </w:tbl>
    <w:p>
      <w:pPr>
        <w:sectPr>
          <w:headerReference w:type="default" r:id="rId302"/>
          <w:footerReference w:type="default" r:id="rId303"/>
          <w:headerReference w:type="even" r:id="rId304"/>
          <w:footerReference w:type="even" r:id="rId305"/>
          <w:footnotePr>
            <w:pos w:val="pageBottom"/>
            <w:numFmt w:val="chicago"/>
            <w:numRestart w:val="continuous"/>
            <w15:footnoteColumns w:val="1"/>
          </w:footnotePr>
          <w:pgSz w:w="12240" w:h="15840"/>
          <w:pgMar w:top="1897" w:right="1023" w:bottom="433" w:left="1180" w:header="1469" w:footer="5" w:gutter="0"/>
          <w:cols w:space="720"/>
          <w:noEndnote/>
          <w:rtlGutter w:val="0"/>
          <w:docGrid w:linePitch="360"/>
        </w:sectPr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32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Радиоактивность поступивших в организм молодых ПЯД, к которым относятся, в частности, продукты ядерного взрыва (ПЯВ) в течение первых суток после их образования, быстро снижается за счет распада короткоживущих изотопов, вследст</w:t>
        <w:softHyphen/>
        <w:t>вие чего интенсивность облучения организма со временем пада</w:t>
        <w:softHyphen/>
        <w:t>ет. В результате во всех органах (кроме костей) 30-50% всей на</w:t>
        <w:softHyphen/>
        <w:t>копленной дозы формируется в течение 1 суток после поступле</w:t>
        <w:softHyphen/>
        <w:t>ния ПЯД в организм, а в течение первой недели — практически вся доза.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32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ПЯД характерна определенная последовательность пора</w:t>
        <w:softHyphen/>
        <w:t>жения органов и систем, а также резкая неравномерность в рас</w:t>
        <w:softHyphen/>
        <w:t>пределении поглощенных доз между различными органами и тканями.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32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 ранних этапах поражения наиболее интенсивно облуча</w:t>
        <w:softHyphen/>
        <w:t>ются органы дыхания и пищеварения, через которые ПЯД посту</w:t>
        <w:softHyphen/>
        <w:t>пают в организм. В дальнейшем, в ближайшие дни после радио</w:t>
        <w:softHyphen/>
        <w:t>активного заражения, поражаются органы преимущественного депонирования: щитовидная железа, печень, почки. В костях доза формируется гораздо медленнее по причине накопления в них таких долгоживущих радионуклидов, как стронций.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32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Резкая неравномерность облучения при поступлении ПЯД зависит прежде всего от тропности отдельных радионуклидов к различным органам и тканям, а также от низкой проникающей способности а- и р-частиц, испускаемых инкорпорированными радионуклидами.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320" w:right="0"/>
        <w:jc w:val="both"/>
        <w:sectPr>
          <w:headerReference w:type="default" r:id="rId306"/>
          <w:footerReference w:type="default" r:id="rId307"/>
          <w:headerReference w:type="even" r:id="rId308"/>
          <w:footerReference w:type="even" r:id="rId309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53" w:right="201" w:bottom="853" w:left="159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 клинической картине лучевой болезни, вызванной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али</w:t>
        <w:softHyphen/>
        <w:t>ментарным поступлением больших количеств ПЯД,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доминируют проявления поражения кишечника, вызванные контактным воз</w:t>
        <w:softHyphen/>
        <w:t>действием р-излучающих радионуклидов. Повреждения кишки часто имеют очаговый характер, особенно при поступлении пло</w:t>
        <w:softHyphen/>
        <w:t>хо растворимых ПЯД, длительно задерживающихся в криптах и регионарных лимфатических узлах. В результате местного облу</w:t>
        <w:softHyphen/>
        <w:t>чения кишки нарушается баланс жидкостей и электролитов, страдает секреция, развивается бактериемия и интоксикация. Для тяжелой степени поражения характерны рвота, понос, те</w:t>
        <w:softHyphen/>
        <w:t>незмы, слизь и кровь в кале, обезвоживание организма. Развива</w:t>
        <w:softHyphen/>
        <w:t>ющийся в тонкой кишке острый геморрагический гастроэнтеро</w:t>
        <w:softHyphen/>
        <w:t>колит напоминает поражение при кишечной форме острой луче</w:t>
        <w:softHyphen/>
        <w:t>вой болезни от внешнего облучения, но в связи с очаговым характером поражения и большей длительностью облучения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320" w:right="0" w:firstLine="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равноэффективные дозы для кишки при внутреннем заражении ПЯД оказываются в 2—2,5 раза выше.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66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Ингаляционное поступление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ЛЯД опаснее, чем алиментарное. Это связано в первую очередь с облучением легких за счет продуктов, задержавшихся в них и попавших в регионарные лимфатические узлы. В результате воздействия высоких местных доз облучения, формирующихся вокруг осевших в легких радио</w:t>
        <w:softHyphen/>
        <w:t>нуклидов, развиваются очаги кровоизлияний, переходящие в фибринозно-геморрагическую пневмонию со слабо выраженной клеточной реакцией. Наблюдаются проявления радиационного ожога верхних дыхательных путей, развивается лучевой пневмо</w:t>
        <w:softHyphen/>
        <w:t xml:space="preserve">нит, а затем и пневмофиброз. Наряду с органами дыхания при I ингаляционном поступлении ПЯД поражается и кишечник, вследствие чего в остром периоде лучевую болезнь при ингаля- </w:t>
      </w:r>
      <w:r>
        <w:rPr>
          <w:color w:val="8A8A8A"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II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ции ПЯД можно определить как бронхопневмонию с гастроэн</w:t>
        <w:softHyphen/>
        <w:t>тероколитом.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32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Изменения в картине крови при внутреннем заражении ПЯД зависят прежде всего от количества поступивших в организм ра</w:t>
        <w:softHyphen/>
        <w:t>дионуклидов, их изотопного состава и растворимости. Если по</w:t>
        <w:softHyphen/>
        <w:t>ступление невелико, а продукты мало растворимы, в ранние сро</w:t>
        <w:softHyphen/>
        <w:t>ки обычно наблюдают умеренный лейкоцитоз, моноцитоз, сдвиг лейкоцитарной формулы влево, иногда лейкемоидную реакцию костного мозга. При поступлении больших количеств ПЯД могут наблюдаться признаки угнетения лейко-, тромбо- и эрит</w:t>
        <w:softHyphen/>
        <w:t>ропоэза. Так же как и при ОЛБ от внешнего облучения, при инкорпорации ПЯД развиваются выраженные нарушения им</w:t>
        <w:softHyphen/>
        <w:t>мунологической реактивности: повышается чувствительность к инфекции, развиваются аутоиммунные реакции.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32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Из органов депонирования ПЯД на первом месте стоит щи</w:t>
        <w:softHyphen/>
        <w:t>товидная железа, в которой концентрируется до 30% всех всо</w:t>
        <w:softHyphen/>
        <w:t>савшихся молодых ПЯД. Помимо изотопов йода, входящих в со</w:t>
        <w:softHyphen/>
        <w:t>став самих ПЯД, в облучении щитовидной железы принимают также участие изотопы йода, образовавшиеся при распаде ра</w:t>
        <w:softHyphen/>
        <w:t>диоактивного теллура, а также повторно поступающий в железу йод, освобождающийся при распаде гормонов.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32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85" w:right="1037" w:bottom="861" w:left="76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Приблизительно 15% инкорпорированных ПЯД депониру</w:t>
        <w:softHyphen/>
        <w:t>ются в печени. Выделяющиеся с желчью изотопы могут повтор</w:t>
        <w:softHyphen/>
        <w:t>но всасываться в кишке и вновь служить причиной облучения печени. В ткани печени изотопы откладываются неравномерно, что служит причиной очагового характера дистрофических и не- кробиотических повреждений. Японские врачи связывают с по-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320" w:right="0" w:firstLine="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вреждением печени нарушения обмена веществ, наблюдавшиеся у рыбаков судна «Фукуу Маро», подвергшихся воздействию ра</w:t>
        <w:softHyphen/>
        <w:t>диоактивных выпадений в результате ядерного взрыва на Мар</w:t>
        <w:softHyphen/>
        <w:t>шалловых островах.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32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Экстраполяция экспериментальных данных на человека по</w:t>
        <w:softHyphen/>
        <w:t>казывает, что острая лучевая болезнь от внутреннего облучения может развиться после однократного поступления в организм более 15 мКи молодых (возраст 1 сутки) ПЯД. Однако уже после воздействия активностями порядка единиц мКи возможно раз</w:t>
        <w:softHyphen/>
        <w:t>витие лучевых реакций в результате радиационного ожога слизи</w:t>
        <w:softHyphen/>
        <w:t>стых оболочек, проявляющихся лейкоцитозом, переходящим в лейкопению, некоторыми нарушениями обмена веществ и им</w:t>
        <w:softHyphen/>
        <w:t>мунитета.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32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Течение лучевой болезни от инкорпорации ПЯД отличают слабая выраженность первичной реакции и гематологического синдрома, отсутствие четких границ между периодами течения, рано появляющиеся признаки поражения критических органов (кишечника, легких) и органов депонирования радионуклидов. Поражения кишечника, печени, щитовидной железы при внут</w:t>
        <w:softHyphen/>
        <w:t>реннем заражении ПЯД обусловливают нарушения углеводного, липидного и белкового обмена, накопление в организме токсич</w:t>
        <w:softHyphen/>
        <w:t>ных метаболитов. Продолжающееся облучение инкорпориро</w:t>
        <w:softHyphen/>
        <w:t>ванными радионуклидами и нарушения гормональной регуля</w:t>
        <w:softHyphen/>
        <w:t>ции, связанные в первую очередь с повреждением щитовидной железы радиоактивным йодом, замедляют и без того вялое тече</w:t>
        <w:softHyphen/>
        <w:t>ние восстановительных процессов. Длительное присутствие в организме радионуклидов, отличающихся низкими константами распада и выведения, нередко обусловливает возникновение хронических форм заболевания, различных форм опухолевых и неопухолевых отдаленных последствий. Отдаленные последст</w:t>
        <w:softHyphen/>
        <w:t>вия при внутреннем заражении ПЯД принципиально такие же, как и при внешнем облучении, однако существенно большая доля приходится на опухоли желез внутренней секреции, в воз</w:t>
        <w:softHyphen/>
        <w:t>никновении которых ведущее значение принадлежит поврежде</w:t>
        <w:softHyphen/>
        <w:t>нию щитовидной железы, что позволяет рассматривать ее в дан</w:t>
        <w:softHyphen/>
        <w:t>ной ситуации как критический орган.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32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52" w:right="291" w:bottom="852" w:left="151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Причиной смерти при острых поражениях ПЯД чаще всего являются повреждения желудочно-кишечного тракта и органов дыхания, развивающиеся на фоне глубоких нарушений крове</w:t>
        <w:softHyphen/>
        <w:t>творной функции и приводящие к обезвоживанию, потере элек</w:t>
        <w:softHyphen/>
        <w:t>тролитов, интоксикации, генерализации инфекции.</w:t>
      </w:r>
    </w:p>
    <w:p>
      <w:pPr>
        <w:pStyle w:val="Style44"/>
        <w:keepNext/>
        <w:keepLines/>
        <w:widowControl w:val="0"/>
        <w:numPr>
          <w:ilvl w:val="1"/>
          <w:numId w:val="87"/>
        </w:numPr>
        <w:shd w:val="clear" w:color="auto" w:fill="auto"/>
        <w:tabs>
          <w:tab w:pos="442" w:val="left"/>
        </w:tabs>
        <w:bidi w:val="0"/>
        <w:spacing w:before="0" w:line="230" w:lineRule="auto"/>
        <w:ind w:left="0" w:right="0" w:firstLine="0"/>
        <w:jc w:val="center"/>
      </w:pPr>
      <w:bookmarkStart w:id="76" w:name="bookmark76"/>
      <w:bookmarkStart w:id="77" w:name="bookmark77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ПРОФИЛАКТИКА ПОРАЖЕНИЙ РАДИОНУКЛИДАМИ</w:t>
      </w:r>
      <w:bookmarkEnd w:id="77"/>
      <w:bookmarkEnd w:id="76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32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предупреждения внутреннего радиоактивного заражения необходимо провести ряд организационных, защитных и профи</w:t>
        <w:softHyphen/>
        <w:t>лактических мероприятий.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32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Так, при радиационных авариях (как и применении ядерного оружия) следует воспользоваться стандартными или приспособ</w:t>
        <w:softHyphen/>
        <w:t>ленными для этих целей коллективными средствами защиты. В частности, укрытие в помещениях с закрытыми, а еще лучше за</w:t>
        <w:softHyphen/>
        <w:t>конопаченными окнами и дверями, выключенной вентиляцией во время прохождения факела выброса будет способствовать не только снижению дозы внешнего облучения, но и ограничению ингаляционного поступления РВ.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32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снижения ингаляционного поступления РВ можно при</w:t>
        <w:softHyphen/>
        <w:t>менять респираторы, достаточно эффективные при загрязнении воздуха продуктами наземного ядерного взрыва и выбросами на аварийной АЭС. При нахождении на РЗМ также необходимо ис</w:t>
        <w:softHyphen/>
        <w:t>пользовать средства защиты кожи.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32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предупреждения алиментарного поступления ПЯД необ</w:t>
        <w:softHyphen/>
        <w:t>ходимо не допускать потребления воды и пищевых продуктов, уровень заражения которых превышает безопасный. При радиа</w:t>
        <w:softHyphen/>
        <w:t>ционных авариях приготовление и прием пищи на РЗМ не раз</w:t>
        <w:softHyphen/>
        <w:t>решается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footnoteReference w:id="10"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32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Профилактика контактного поражения радиоактивными ве</w:t>
        <w:softHyphen/>
        <w:t>ществами осуществляется с помощью средств индивидуальной защиты кожных покровов. С целью предупреждения проникно</w:t>
        <w:softHyphen/>
        <w:t>вения внутрь организма радионуклидов, попавших на кожу, при радиоактивном заражении кожи с мощностью дозы на ее повер</w:t>
        <w:softHyphen/>
        <w:t>хности более 0,1 мР/ч проводится санитарная обработка кожи обмыванием теплой водой с мылом (при возможности — с мы</w:t>
        <w:softHyphen/>
        <w:t xml:space="preserve">лом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«Авакс-72»),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320" w:right="0" w:firstLine="32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59" w:right="1028" w:bottom="847" w:left="77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Кроме того, для удаления радионуклидов с загрязненных кожных покровов могут быть использованы дезактивирующие средства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«Радез Д», «Деконтамин»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«Защита» —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порошок из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смеси ионообменных смол и моющего средства. Одну чайную ложку порошка смешивают с небольшим количеством воды и растирают в течение 1 мин по загрязненному участку кожи, по</w:t>
        <w:softHyphen/>
        <w:t>сле чего образующуюся пену смывают. Процедуру повторяют 2—3 раза. Эффективность средства «Защита» при своевременной очистке кожи от радионуклидов щелочноземельных и редкозе</w:t>
        <w:softHyphen/>
        <w:t>мельных элементов, смеси продуктов деления урана, йода, цир</w:t>
        <w:softHyphen/>
        <w:t>кония, талия, плутония, америция и нептуния составляет прак</w:t>
        <w:softHyphen/>
        <w:t>тически 100%, при загрязнении рутением и молибденом — до 97%.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Слизистые оболочки глаз, носа и полости рта промывают 2% раствором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гидрокарбоната натрия,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физиологическим раствором или проточной водой.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52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установлении факта внутреннего радиоактивного зара</w:t>
        <w:softHyphen/>
        <w:t>жения или только предположении об его наличии принимают меры к удалению РВ из желудочно-кишечного тракта: промыва</w:t>
        <w:softHyphen/>
        <w:t>ние желудка, назначение рвотных средств, механическое раздра</w:t>
        <w:softHyphen/>
        <w:t>жение задней стенки глотки, солевые слабительные, клизмы.</w:t>
      </w:r>
    </w:p>
    <w:p>
      <w:pPr>
        <w:pStyle w:val="Style34"/>
        <w:keepNext w:val="0"/>
        <w:keepLines w:val="0"/>
        <w:widowControl w:val="0"/>
        <w:numPr>
          <w:ilvl w:val="1"/>
          <w:numId w:val="87"/>
        </w:numPr>
        <w:shd w:val="clear" w:color="auto" w:fill="auto"/>
        <w:tabs>
          <w:tab w:pos="980" w:val="left"/>
        </w:tabs>
        <w:bidi w:val="0"/>
        <w:spacing w:before="0" w:after="220" w:line="276" w:lineRule="auto"/>
        <w:ind w:left="0" w:right="0" w:firstLine="0"/>
        <w:jc w:val="center"/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>ОСОБЕННОСТИ КЛИНИКИ И ЛЕЧЕНИЯ</w:t>
        <w:br/>
        <w:t>РАДИАЦИОННЫХ ПОРАЖЕНИЙ ПРИ ИНКОРПОРАЦИИ</w:t>
        <w:br/>
        <w:t>ОСНОВНЫХ АВАРИЙНО ОПАСНЫХ РАДИОНУКЛИДОВ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Среди продуктов ядерного взрыва и продуктов ядерного деле</w:t>
        <w:softHyphen/>
        <w:t>ния, формирующихся при авариях на ядерных энергетических установках и радиохимических производствах, основную опас</w:t>
        <w:softHyphen/>
        <w:t>ность в качестве источников внутреннего облучения представля</w:t>
        <w:softHyphen/>
        <w:t>ют радиоизотопы йода, цезия и стронция. При авариях с ядер- ными боеприпасами и при перевозке радиоактивных веществ в случае диспергирования делящегося материала (механическое разрушение, пожар) основным фактором радиационного воз</w:t>
        <w:softHyphen/>
        <w:t>действия, преимущественно ингаляционного, являются соеди</w:t>
        <w:softHyphen/>
        <w:t>нения плутония.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33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91" w:right="544" w:bottom="891" w:left="160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качестве примера в табл. 12 представлен радиоизотопный состав выброса из аварийного реактора Чернобыльской АЭС.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 w:firstLine="0"/>
        <w:jc w:val="center"/>
        <w:rPr>
          <w:sz w:val="18"/>
          <w:szCs w:val="18"/>
        </w:rPr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>Содержание в выбросе основных радионуклидов</w:t>
        <w:br/>
        <w:t>при аварии на ЧАЭС, отнесенное к их расчетному количеству</w:t>
        <w:br/>
        <w:t>в активной зоне на момент аварии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18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(по Ю. П. Бузулукову и Ю. Л. Добрынину, 1993;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A. R. Sich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 др., 1994)</w:t>
      </w:r>
    </w:p>
    <w:tbl>
      <w:tblPr>
        <w:tblOverlap w:val="never"/>
        <w:jc w:val="center"/>
        <w:tblLayout w:type="fixed"/>
      </w:tblPr>
      <w:tblGrid>
        <w:gridCol w:w="1450"/>
        <w:gridCol w:w="1406"/>
        <w:gridCol w:w="1406"/>
        <w:gridCol w:w="1454"/>
      </w:tblGrid>
      <w:tr>
        <w:trPr>
          <w:trHeight w:val="691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0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Радионуклид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54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Период полураспада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Количество в активной зоне, ПБк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54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Содержание в выбросе, %</w:t>
            </w:r>
          </w:p>
        </w:tc>
      </w:tr>
      <w:tr>
        <w:trPr>
          <w:trHeight w:val="317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85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Кг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 xml:space="preserve">10,72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28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30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Около 100</w:t>
            </w:r>
          </w:p>
        </w:tc>
      </w:tr>
      <w:tr>
        <w:trPr>
          <w:trHeight w:val="312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133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Хе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 xml:space="preserve">5,25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года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6510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30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Около 100</w:t>
            </w:r>
          </w:p>
        </w:tc>
      </w:tr>
      <w:tr>
        <w:trPr>
          <w:trHeight w:val="312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1311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6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8,04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3 080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8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54</w:t>
            </w:r>
          </w:p>
        </w:tc>
      </w:tr>
      <w:tr>
        <w:trPr>
          <w:trHeight w:val="317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132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bscript"/>
                <w:lang w:val="ru-RU" w:eastAsia="ru-RU" w:bidi="ru-RU"/>
              </w:rPr>
              <w:t>Те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3,26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4 480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8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9,1</w:t>
            </w:r>
          </w:p>
        </w:tc>
      </w:tr>
      <w:tr>
        <w:trPr>
          <w:trHeight w:val="312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8A8A8A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en-US" w:eastAsia="en-US" w:bidi="en-US"/>
              </w:rPr>
              <w:t>137</w:t>
            </w:r>
            <w:r>
              <w:rPr>
                <w:rFonts w:ascii="Arial" w:eastAsia="Arial" w:hAnsi="Arial" w:cs="Arial"/>
                <w:color w:val="8A8A8A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Cs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30 лет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260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31,7</w:t>
            </w:r>
          </w:p>
        </w:tc>
      </w:tr>
      <w:tr>
        <w:trPr>
          <w:trHeight w:val="317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en-US" w:eastAsia="en-US" w:bidi="en-US"/>
              </w:rPr>
              <w:t>134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Cs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2,06 года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170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25,9</w:t>
            </w:r>
          </w:p>
        </w:tc>
      </w:tr>
      <w:tr>
        <w:trPr>
          <w:trHeight w:val="312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en-US" w:eastAsia="en-US" w:bidi="en-US"/>
              </w:rPr>
              <w:t>89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Sr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50,5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3 960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</w:t>
            </w:r>
          </w:p>
        </w:tc>
      </w:tr>
      <w:tr>
        <w:trPr>
          <w:trHeight w:val="312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en-US" w:eastAsia="en-US" w:bidi="en-US"/>
              </w:rPr>
              <w:t>90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Sr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6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29,12 года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230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8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3,5</w:t>
            </w:r>
          </w:p>
        </w:tc>
      </w:tr>
      <w:tr>
        <w:trPr>
          <w:trHeight w:val="317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8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95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bscript"/>
                <w:lang w:val="en-US" w:eastAsia="en-US" w:bidi="en-US"/>
              </w:rPr>
              <w:t>Zr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64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5 850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8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2,8</w:t>
            </w:r>
          </w:p>
        </w:tc>
      </w:tr>
      <w:tr>
        <w:trPr>
          <w:trHeight w:val="312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en-US" w:eastAsia="en-US" w:bidi="en-US"/>
              </w:rPr>
              <w:t>103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Ru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39,3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3 770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8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4,5</w:t>
            </w:r>
          </w:p>
        </w:tc>
      </w:tr>
      <w:tr>
        <w:trPr>
          <w:trHeight w:val="317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20"/>
              <w:jc w:val="left"/>
            </w:pPr>
            <w:r>
              <w:rPr>
                <w:smallCaps/>
                <w:spacing w:val="0"/>
                <w:w w:val="100"/>
                <w:position w:val="0"/>
                <w:shd w:val="clear" w:color="auto" w:fill="auto"/>
                <w:vertAlign w:val="superscript"/>
                <w:lang w:val="en-US" w:eastAsia="en-US" w:bidi="en-US"/>
              </w:rPr>
              <w:t>1</w:t>
            </w:r>
            <w:r>
              <w:rPr>
                <w:smallCaps/>
                <w:spacing w:val="0"/>
                <w:w w:val="100"/>
                <w:position w:val="0"/>
                <w:shd w:val="clear" w:color="auto" w:fill="auto"/>
                <w:lang w:val="en-US" w:eastAsia="en-US" w:bidi="en-US"/>
              </w:rPr>
              <w:t>°6r</w:t>
            </w:r>
            <w:r>
              <w:rPr>
                <w:smallCaps/>
                <w:spacing w:val="0"/>
                <w:w w:val="100"/>
                <w:position w:val="0"/>
                <w:shd w:val="clear" w:color="auto" w:fill="auto"/>
                <w:vertAlign w:val="subscript"/>
                <w:lang w:val="en-US" w:eastAsia="en-US" w:bidi="en-US"/>
              </w:rPr>
              <w:t>u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368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860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8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3,5</w:t>
            </w:r>
          </w:p>
        </w:tc>
      </w:tr>
      <w:tr>
        <w:trPr>
          <w:trHeight w:val="312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en-US" w:eastAsia="en-US" w:bidi="en-US"/>
              </w:rPr>
              <w:t>140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Ba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6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12,7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6070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8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2,8</w:t>
            </w:r>
          </w:p>
        </w:tc>
      </w:tr>
      <w:tr>
        <w:trPr>
          <w:trHeight w:val="312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en-US" w:eastAsia="en-US" w:bidi="en-US"/>
              </w:rPr>
              <w:t>141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Ce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6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32,5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5 550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8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3,5</w:t>
            </w:r>
          </w:p>
        </w:tc>
      </w:tr>
      <w:tr>
        <w:trPr>
          <w:trHeight w:val="317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en-US" w:eastAsia="en-US" w:bidi="en-US"/>
              </w:rPr>
              <w:t>144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Ce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284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3 920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3,5</w:t>
            </w:r>
          </w:p>
        </w:tc>
      </w:tr>
      <w:tr>
        <w:trPr>
          <w:trHeight w:val="312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en-US" w:eastAsia="en-US" w:bidi="en-US"/>
              </w:rPr>
              <w:t>239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Np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6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2,36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58 100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8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2,9</w:t>
            </w:r>
          </w:p>
        </w:tc>
      </w:tr>
      <w:tr>
        <w:trPr>
          <w:trHeight w:val="317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238p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bscript"/>
                <w:lang w:val="en-US" w:eastAsia="en-US" w:bidi="en-US"/>
              </w:rPr>
              <w:t>u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6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87,74 года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1,3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2,3</w:t>
            </w:r>
          </w:p>
        </w:tc>
      </w:tr>
      <w:tr>
        <w:trPr>
          <w:trHeight w:val="317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239p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bscript"/>
                <w:lang w:val="en-US" w:eastAsia="en-US" w:bidi="en-US"/>
              </w:rPr>
              <w:t>u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6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24 065 лет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0,95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3,2</w:t>
            </w:r>
          </w:p>
        </w:tc>
      </w:tr>
      <w:tr>
        <w:trPr>
          <w:trHeight w:val="312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240p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bscript"/>
                <w:lang w:val="en-US" w:eastAsia="en-US" w:bidi="en-US"/>
              </w:rPr>
              <w:t>u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38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6537 лет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1,5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2,9</w:t>
            </w:r>
          </w:p>
        </w:tc>
      </w:tr>
      <w:tr>
        <w:trPr>
          <w:trHeight w:val="317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en-US" w:eastAsia="en-US" w:bidi="en-US"/>
              </w:rPr>
              <w:t>241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 xml:space="preserve"> Pu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14,4 года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180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3,3</w:t>
            </w:r>
          </w:p>
        </w:tc>
      </w:tr>
      <w:tr>
        <w:trPr>
          <w:trHeight w:val="346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en-US" w:eastAsia="en-US" w:bidi="en-US"/>
              </w:rPr>
              <w:t>242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Cm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163 дня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43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58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2,2</w:t>
            </w:r>
          </w:p>
        </w:tc>
      </w:tr>
    </w:tbl>
    <w:p>
      <w:pPr>
        <w:widowControl w:val="0"/>
        <w:spacing w:after="199" w:line="1" w:lineRule="exact"/>
      </w:pP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30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РАДИОАКТИВНЫЙ ЙОД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80" w:line="230" w:lineRule="auto"/>
        <w:ind w:left="0" w:right="0" w:firstLine="320"/>
        <w:jc w:val="both"/>
        <w:sectPr>
          <w:headerReference w:type="default" r:id="rId310"/>
          <w:footerReference w:type="default" r:id="rId311"/>
          <w:headerReference w:type="even" r:id="rId312"/>
          <w:footerReference w:type="even" r:id="rId313"/>
          <w:footnotePr>
            <w:pos w:val="pageBottom"/>
            <w:numFmt w:val="chicago"/>
            <w:numRestart w:val="continuous"/>
            <w15:footnoteColumns w:val="1"/>
          </w:footnotePr>
          <w:pgSz w:w="7435" w:h="12283"/>
          <w:pgMar w:top="1330" w:right="648" w:bottom="1316" w:left="53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Радиоизотопы йода (120—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i39j)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являются 0-, у-излучателями и могут находиться в аэрозольной и газообразной форме. Период полураспада основного дозообразующего радиоизотопа — 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131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 составляет 8 суток. Физические характеристики других радио</w:t>
        <w:softHyphen/>
        <w:t>изотопов йода представлены в табл. 13.</w:t>
      </w:r>
    </w:p>
    <w:p>
      <w:pPr>
        <w:pStyle w:val="Style71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  <w:rPr>
          <w:sz w:val="17"/>
          <w:szCs w:val="17"/>
        </w:rPr>
      </w:pPr>
      <w:r>
        <w:rPr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Физические характеристики радиоизотопов йода </w:t>
      </w:r>
      <w:r>
        <w:rPr>
          <w:b w:val="0"/>
          <w:bCs w:val="0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>(по И. Я. Василенко, 1987)</w:t>
      </w:r>
    </w:p>
    <w:tbl>
      <w:tblPr>
        <w:tblOverlap w:val="never"/>
        <w:jc w:val="center"/>
        <w:tblLayout w:type="fixed"/>
      </w:tblPr>
      <w:tblGrid>
        <w:gridCol w:w="1992"/>
        <w:gridCol w:w="845"/>
        <w:gridCol w:w="840"/>
        <w:gridCol w:w="845"/>
        <w:gridCol w:w="845"/>
        <w:gridCol w:w="874"/>
      </w:tblGrid>
      <w:tr>
        <w:trPr>
          <w:trHeight w:val="312" w:hRule="exact"/>
        </w:trPr>
        <w:tc>
          <w:tcPr>
            <w:vMerge w:val="restart"/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Характеристика радиоизотопа</w:t>
            </w:r>
          </w:p>
        </w:tc>
        <w:tc>
          <w:tcPr>
            <w:gridSpan w:val="5"/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Радиоизотопы йода</w:t>
            </w:r>
          </w:p>
        </w:tc>
      </w:tr>
      <w:tr>
        <w:trPr>
          <w:trHeight w:val="288" w:hRule="exact"/>
        </w:trPr>
        <w:tc>
          <w:tcPr>
            <w:vMerge/>
            <w:tcBorders/>
            <w:shd w:val="clear" w:color="auto" w:fill="auto"/>
            <w:vAlign w:val="center"/>
          </w:tcPr>
          <w:p>
            <w:pPr/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2"/>
                <w:szCs w:val="12"/>
                <w:shd w:val="clear" w:color="auto" w:fill="auto"/>
                <w:lang w:val="ru-RU" w:eastAsia="ru-RU" w:bidi="ru-RU"/>
              </w:rPr>
              <w:t>131|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1"/>
                <w:szCs w:val="11"/>
                <w:shd w:val="clear" w:color="auto" w:fill="auto"/>
                <w:lang w:val="ru-RU" w:eastAsia="ru-RU" w:bidi="ru-RU"/>
              </w:rPr>
              <w:t>132|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2"/>
                <w:szCs w:val="12"/>
                <w:shd w:val="clear" w:color="auto" w:fill="auto"/>
                <w:lang w:val="ru-RU" w:eastAsia="ru-RU" w:bidi="ru-RU"/>
              </w:rPr>
              <w:t>133|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2"/>
                <w:szCs w:val="12"/>
                <w:shd w:val="clear" w:color="auto" w:fill="auto"/>
                <w:lang w:val="ru-RU" w:eastAsia="ru-RU" w:bidi="ru-RU"/>
              </w:rPr>
              <w:t>134|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1"/>
                <w:szCs w:val="11"/>
                <w:shd w:val="clear" w:color="auto" w:fill="auto"/>
                <w:lang w:val="ru-RU" w:eastAsia="ru-RU" w:bidi="ru-RU"/>
              </w:rPr>
              <w:t>135|</w:t>
            </w:r>
          </w:p>
        </w:tc>
      </w:tr>
      <w:tr>
        <w:trPr>
          <w:trHeight w:val="288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Период полураспада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8,04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2,3 ч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20,8 ч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0,87 ч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6,61 ч</w:t>
            </w:r>
          </w:p>
        </w:tc>
      </w:tr>
      <w:tr>
        <w:trPr>
          <w:trHeight w:val="432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Максимальная энергия (Э-частиц, МэВ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0,61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1,61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1,3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0,75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1,4</w:t>
            </w:r>
          </w:p>
        </w:tc>
      </w:tr>
      <w:tr>
        <w:trPr>
          <w:trHeight w:val="322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Энергия у-квантов, МэВ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0,36-0,64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0,76-1,41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0,53-0,58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0,85-0,88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1,28-1,69</w:t>
            </w:r>
          </w:p>
        </w:tc>
      </w:tr>
    </w:tbl>
    <w:p>
      <w:pPr>
        <w:widowControl w:val="0"/>
        <w:spacing w:after="239" w:line="1" w:lineRule="exact"/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пероральном поступлении радиоактивный йод практи</w:t>
        <w:softHyphen/>
        <w:t>чески полностью всасывается в желудочно-кишечном тракте. При ингаляции 50% радиоактивного йода откладывается в верх</w:t>
        <w:softHyphen/>
        <w:t>них дыхательных путях, 15% — в бронхах, 30—40% — в легких (из этого количества изотопа до 30% выводится с мокротой из тра</w:t>
        <w:softHyphen/>
        <w:t>хеобронхиального дерева и попадает в желудочно-кишечный тракт). Уже через 6 ч до 15-20% поступившего в организм ра</w:t>
        <w:softHyphen/>
        <w:t>диоактивного йода фиксируется в щитовидной железе, а через 1 сутки в ней накапливается до 25—30% изотопа. Основными по</w:t>
        <w:softHyphen/>
        <w:t>следствиями этого процесса являются развитие гипотиреоза и опухолевых заболеваний щитовидной железы (в отдаленные сроки), а при поступлении больших доз — тиреоидита и тирео- некроза. При ингаляции радиоактивного йода возможны ослож</w:t>
        <w:softHyphen/>
        <w:t>нения в виде интерстициального пневмонита и пневмосклероза.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Расчетные сроки накопления определенной доли ожидаемой эквивалентной дозы в щитовидной железе и других органах и тканях за счет инкорпорированного 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131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 представлены в табл. 14.</w:t>
      </w:r>
    </w:p>
    <w:p>
      <w:pPr>
        <w:pStyle w:val="Style71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right"/>
        <w:rPr>
          <w:sz w:val="15"/>
          <w:szCs w:val="15"/>
        </w:rPr>
      </w:pPr>
      <w:r>
        <w:rPr>
          <w:b w:val="0"/>
          <w:bCs w:val="0"/>
          <w:i/>
          <w:iCs/>
          <w:spacing w:val="0"/>
          <w:w w:val="100"/>
          <w:position w:val="0"/>
          <w:sz w:val="15"/>
          <w:szCs w:val="15"/>
          <w:shd w:val="clear" w:color="auto" w:fill="auto"/>
          <w:lang w:val="ru-RU" w:eastAsia="ru-RU" w:bidi="ru-RU"/>
        </w:rPr>
        <w:t>Таблица 14</w:t>
      </w:r>
    </w:p>
    <w:p>
      <w:pPr>
        <w:pStyle w:val="Style71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Время накопления определенной доли ожидаемой эквивалентной дозы в щитовидной железе и других органах и тканях за счет инкорпорированного йода-131, сутки</w:t>
      </w:r>
    </w:p>
    <w:tbl>
      <w:tblPr>
        <w:tblOverlap w:val="never"/>
        <w:jc w:val="center"/>
        <w:tblLayout w:type="fixed"/>
      </w:tblPr>
      <w:tblGrid>
        <w:gridCol w:w="1661"/>
        <w:gridCol w:w="758"/>
        <w:gridCol w:w="758"/>
        <w:gridCol w:w="758"/>
        <w:gridCol w:w="758"/>
        <w:gridCol w:w="763"/>
        <w:gridCol w:w="792"/>
      </w:tblGrid>
      <w:tr>
        <w:trPr>
          <w:trHeight w:val="307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Доза, %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4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25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80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90</w:t>
            </w:r>
          </w:p>
        </w:tc>
      </w:tr>
      <w:tr>
        <w:trPr>
          <w:trHeight w:val="293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Щитовидная железа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0,6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4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3,0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7,5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17,5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25,0</w:t>
            </w:r>
          </w:p>
        </w:tc>
      </w:tr>
      <w:tr>
        <w:trPr>
          <w:trHeight w:val="326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Другие органы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0,4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0,7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2,0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5,0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11,0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16,0</w:t>
            </w:r>
          </w:p>
        </w:tc>
      </w:tr>
    </w:tbl>
    <w:p>
      <w:pPr>
        <w:widowControl w:val="0"/>
        <w:spacing w:after="199" w:line="1" w:lineRule="exact"/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28" w:lineRule="auto"/>
        <w:ind w:left="0" w:right="0"/>
        <w:jc w:val="both"/>
        <w:sectPr>
          <w:headerReference w:type="default" r:id="rId314"/>
          <w:footerReference w:type="default" r:id="rId315"/>
          <w:headerReference w:type="even" r:id="rId316"/>
          <w:footerReference w:type="even" r:id="rId317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129" w:right="310" w:bottom="1070" w:left="183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Эффективным средством профилактики инкорпорации ра</w:t>
        <w:softHyphen/>
        <w:t xml:space="preserve">диоактивного йода в щитовидной железе являются препараты стабильного йода, прежде всего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калия йодид.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Препарат выпускает</w:t>
        <w:softHyphen/>
        <w:t>ся в форме таблеток по 0,124 и 0,04 г. Оптимальной дозой калия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700" w:right="0" w:firstLine="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йодида, достаточной для защиты щитовидной железы взрослого человека в условиях многократного поступления радиойода, яв</w:t>
        <w:softHyphen/>
        <w:t>ляется доза 0,125 г (1 таблетка). Прием этого препарата необходи</w:t>
        <w:softHyphen/>
        <w:t>мо начинать до первого контакта с радиоактивным йодом, а при необходимости длительного пребывания на радиоактивно-загряз</w:t>
        <w:softHyphen/>
        <w:t>ненной местности взрослым и детям старше 2 лет следует прини</w:t>
        <w:softHyphen/>
        <w:t>мать его в той же дозе (1 таблетка) после еды вместе с киселем, чаем или водой 1 раз в сутки в течение 8—10 дней. Дети до 2 лет должны получать по 1 таблетке по 0,04 г на прием внутрь еже</w:t>
        <w:softHyphen/>
        <w:t>дневно. Для защиты щитовидной железы плода беременным жен</w:t>
        <w:softHyphen/>
        <w:t xml:space="preserve">щинам рекомендован прием двух препаратов: калия йодида в дозе 0,125 г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калия перхлората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дозе 0,75 г (3 таблетки по 0,25 г).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70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Применение калия йодида оказывает выраженный защит</w:t>
        <w:softHyphen/>
        <w:t xml:space="preserve">ный эффект, снижая накопление 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131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 в щитовидной железе на 90—95%, а в других органах и системах организма — в десятки раз. Максимальный защитный эффект может быть достигнут при предварительном или одновременном с поступлением ра</w:t>
        <w:softHyphen/>
        <w:t>диоактивного йода приеме его стабильного аналога. Защитный эффект препарата значительно снижается в случае его приема более чем через 2 ч после поступления в организм радиоактив</w:t>
        <w:softHyphen/>
        <w:t xml:space="preserve">ного йода. Однако даже через 6 ч после разового поступления 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131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 прием препаратов стабильного йода может снизить потенци</w:t>
        <w:softHyphen/>
        <w:t>альную дозу на щитовидную железу примерно в 2 раза. Учитывая эти обстоятельства, йодная профилактика (при необходимости введения этой меры защиты) должна быть выполнена как можно быстрее.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70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случае отсутствия таблеток калия йодида допускается при</w:t>
        <w:softHyphen/>
        <w:t xml:space="preserve">менение 5% настойки йода или раствора Люголя.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Настойка йода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применяется взрослым и подросткам старше 14 лет по 40—44 капли 1 раз в день или по 20-22 капли 2 раза в день после еды на 1/2 стакана молока или воды. Детям от 5 лет 5% настойка йода применяется в 2 раза меньшем количестве, чем для взрослых, т. е. по 20—22 капли 1 раз в день или по 10-11 капель 2 раза в день на 1/2 стакана молока или воды. Детям до 5 лет настойку йода внутрь не назначают.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70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Настойка йода может также применяться наружно: путем на</w:t>
        <w:softHyphen/>
        <w:t>несения с помощью тампона полос (сетки) на кожу предплечья или голени. Защитный эффект нанесения настойки йода на кожу сопоставим с ее приемом внутрь в тех же дозах. Этот способ за</w:t>
        <w:softHyphen/>
        <w:t>щиты особенно приемлем у детей младшего возраста (до 5 лет), поскольку перорально настойка йода у них не применяется.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142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Раствор Люголя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применяется взрослым и подросткам старше 14 лет по 20—22 капли 1 раз в день или по 10—11 капель 2 раза в день после еды на 1/2 стакана молока или воды. Детям от 5 лет раствор Люголя применяется в 2 раза меньшем количестве, чем для взрослых: по 10—И капель 1 раз в день или по 5—6 капель 2 раза в день на 1/2 стакана молока или воды. Детям до 5 лет рас</w:t>
        <w:softHyphen/>
        <w:t>твор Люголя не назначают.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17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Настойку йода и раствор Люголя применяют до исчезнове</w:t>
        <w:softHyphen/>
        <w:t>ния угрозы поступления в организм радиоактивных изотопов йода. Следует понимать, что защитная эффективность этих спо</w:t>
        <w:softHyphen/>
        <w:t xml:space="preserve">собов проведения йодной профилактики все же ниже, чем испо- </w:t>
      </w:r>
      <w:r>
        <w:rPr>
          <w:color w:val="8A8A8A"/>
          <w:spacing w:val="0"/>
          <w:w w:val="100"/>
          <w:position w:val="0"/>
          <w:shd w:val="clear" w:color="auto" w:fill="auto"/>
          <w:lang w:val="ru-RU" w:eastAsia="ru-RU" w:bidi="ru-RU"/>
        </w:rPr>
        <w:t>1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льзование лекарственного препарата калия йодида.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28" w:lineRule="auto"/>
        <w:ind w:left="142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Кроме назначения препаратов стабильного йода, при перо</w:t>
        <w:softHyphen/>
        <w:t>ральном поступлении радиоактивного йода необходимо перора</w:t>
        <w:softHyphen/>
        <w:t>льно принять адсорбенты, слабительное, 10% раствор тиосуль</w:t>
        <w:softHyphen/>
        <w:t>фата натрия (25—50 мл) с последующим промыванием желудка и применением очистительных клизм. В случае ингаляции радио</w:t>
        <w:softHyphen/>
        <w:t>нуклида назначаются отхаркивающие, муколитики, лечебные ингаляции.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176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РАДИОАКТИВНЫЙ ЦЕЗИЙ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142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Цезий-137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(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137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Cs)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является 0-, у-излучателем. Период его по</w:t>
        <w:softHyphen/>
        <w:t xml:space="preserve">лураспада составляет 30 лет. Цезий-134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(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134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Cs)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имеет период по</w:t>
        <w:softHyphen/>
        <w:t xml:space="preserve">лураспада около 2 лет, что и определяет его меньшую опасность по сравнению с 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137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Cs.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 проявлениям биологического действия оба изотопа существенно не различаются.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142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любом пути поступления изотопы цезия легко проника</w:t>
        <w:softHyphen/>
        <w:t>ют в организм и полностью всасываются из легких и в желудоч</w:t>
        <w:softHyphen/>
        <w:t xml:space="preserve">но-кишечном тракте. Распределение в организме 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137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Cs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сравни</w:t>
        <w:softHyphen/>
        <w:t>тельно равномерное. В печени накапливается 5—10% инкорпо</w:t>
        <w:softHyphen/>
        <w:t>рированного цезия (период полувыведения составляет 90 суток), в мышцах — до 50% (период полувыведения, как и для других тканей организма, в частности костного мозга, — до 40 суток).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142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Характер распределения радиоцезия в организме определяет и клиническую симптоматику поражения. При достижении опре</w:t>
        <w:softHyphen/>
        <w:t>деленной дозы вначале обнаруживаются общие реакции со сторо</w:t>
        <w:softHyphen/>
        <w:t>ны кровеносной и нервной системы, позже присоединяются на</w:t>
        <w:softHyphen/>
        <w:t>рушения функций мышц, печени. В результате поглощения зна</w:t>
        <w:softHyphen/>
        <w:t>чительных количеств радионуклида может развиться гипоплазия костного мозга, а при ингаляции изотопа — специфический ра</w:t>
        <w:softHyphen/>
        <w:t>диационный интерстициальный пневмонит и пневмосклероз.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70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одновременном поступлении в организм цезия и калия последний накапливается в 3 раза быстрее и может вытеснять цезий, в связи с чем при лечении поражений радиоцезием реко</w:t>
        <w:softHyphen/>
        <w:t>мендуется и с успехом применяется метод изотопного разбавле</w:t>
        <w:softHyphen/>
        <w:t>ния. Повышение содержания калия в пище и интенсификация водного обмена способствуют выведению цезия из организма.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30" w:lineRule="auto"/>
        <w:ind w:left="70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профилактики и первой помощи при поступлении в ор</w:t>
        <w:softHyphen/>
        <w:t xml:space="preserve">ганизм радиоактивного цезия (а также рубидия) применяется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ферроцин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(калий-железо гексацианоферрат) — неорганический катионит, механизм действия которого связан с обменом ионов калия, входящих в его состав, на ионы цезия в малорастворимом соединении. Ферроцин поглощает 95-99% радиоактивного це</w:t>
        <w:softHyphen/>
        <w:t>зия, находящегося в желудочно-кишечном тракте, и сокращает время полувыведения изотопа у человека в два раза. Назначают ферроцин в дозе 1,0 г (2 таблетки по 0,5 г) 3 раза в день ежеднев</w:t>
        <w:softHyphen/>
        <w:t>но в течение 14—21 суток, сочетая с промыванием желудка, фор</w:t>
        <w:softHyphen/>
        <w:t>сированным диурезом, приемом адсорбентов и парентеральным введением растворов солей калия. При ингаляционном поступ</w:t>
        <w:softHyphen/>
        <w:t>лении радионуклида применяют также отхаркивающие препара</w:t>
        <w:softHyphen/>
        <w:t>ты, муколитики, лечебные ингаляции, бронхопульмональный лаваж.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10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РАДИОАКТИВНЫЙ СТРОНЦИЙ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70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Стронций-90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(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90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Sr)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— р-излучатель с периодом полураспада 29 лет. Определенную опасность может также представлять стронций-89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(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89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Sr),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который также является р-излучателем, а его период полураспада составляет 50,5 суток. Являясь аналогом ка</w:t>
        <w:softHyphen/>
        <w:t>льция, изотопы стронция фиксируются в костной ткани: в кос</w:t>
        <w:softHyphen/>
        <w:t>тях, зубах и в костном мозге, которые и оказываются критиче</w:t>
        <w:softHyphen/>
        <w:t>скими органами. Увеличение содержания в диете солей кальция снижает всасываемость соединений стронция, а при потребле</w:t>
        <w:softHyphen/>
        <w:t>нии молока всасываемость стронция, напротив, повышается. Выводится стронций с калом и мочой. Эффективный период по</w:t>
        <w:softHyphen/>
        <w:t xml:space="preserve">лувыведения 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90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Sr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из организма составляет 15,6 года.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40" w:line="230" w:lineRule="auto"/>
        <w:ind w:left="700" w:right="0"/>
        <w:jc w:val="both"/>
        <w:sectPr>
          <w:headerReference w:type="default" r:id="rId318"/>
          <w:footerReference w:type="default" r:id="rId319"/>
          <w:headerReference w:type="even" r:id="rId320"/>
          <w:footerReference w:type="even" r:id="rId321"/>
          <w:headerReference w:type="first" r:id="rId322"/>
          <w:footerReference w:type="first" r:id="rId323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72" w:right="243" w:bottom="830" w:left="46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ранние сроки после поступления стронция-90 в большом количестве наблюдаются изменения в органах, через которые он поступает или выводится: слизистые оболочки рта, верхних дыха</w:t>
        <w:softHyphen/>
        <w:t>тельных путей, кишечник. Позднее нарушаются функции пече</w:t>
        <w:softHyphen/>
        <w:t>ни. При ингаляционном поступлении малорастворимых соеди</w:t>
        <w:softHyphen/>
        <w:t>нений стронция-90 изотоп может достаточно прочно фиксиро</w:t>
        <w:softHyphen/>
        <w:t>ваться в легких, которые в этих случаях вместе с дыхательными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44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путями являются критическими органами. Однако в отдаленные сроки и после ингаляционного поступления критическими орга</w:t>
        <w:softHyphen/>
        <w:t>нами становятся кости и костный мозг, в которых депонируется до 90% всей активности.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44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длительном поступлении стронция-90 постепенно раз</w:t>
        <w:softHyphen/>
        <w:t>вивается анемия, наблюдается угнетение спермато- и овогенеза, нарушения иммунитета, функции печени и почек, нейроэндок</w:t>
        <w:softHyphen/>
        <w:t>ринной системы, сокращается продолжительность жизни. В от</w:t>
        <w:softHyphen/>
        <w:t>даленные сроки развиваются гипер- или гипопластические про</w:t>
        <w:softHyphen/>
        <w:t>цессы в костном мозге, лейкозы, саркомы кости.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44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детском организме в результате высокой концентрации стронция наблюдается задержка роста, деформация суставов и костей (такое заболевание получило название «стронциевый ра</w:t>
        <w:softHyphen/>
        <w:t>хит»).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44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ускорения выведения радиоактивного стронция из же</w:t>
        <w:softHyphen/>
        <w:t xml:space="preserve">лудочно-кишечного тракта применяют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полисурьмин —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неорга</w:t>
        <w:softHyphen/>
        <w:t>нический ионообменный полимер, по химической структуре являющийся кремнесурьмянокислым катионитом. Полисурь</w:t>
        <w:softHyphen/>
        <w:t>мин обладает высокой избирательностью к ионам стронция и бария. Связывающая способность полисурьмина по отноше</w:t>
        <w:softHyphen/>
        <w:t>нию к ионам стронция в 2 раза выше, чем к ионам кальция, в 5 раз выше, чем к ионам натрия, и в 7 раз больше, чем к ионам калия, в связи с чем препарат способен извлекать микроколиче</w:t>
        <w:softHyphen/>
        <w:t>ства ионов стронция при наличии больших количеств других щелочноземельных элементов. Полисурьмин нерастворим в воде и не всасывается в пищеварительном тракте, обеспечивая снижение резорбции радиоактивного стронция из кишечника на 95—97%. Препарат применяют внутрь в дозе 4 г в 0,5 стакана воды 3 раза в день в течение 7 суток.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44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Кроме полисурьмина для профилактики резорбции изотопов стронция и бария применяют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адсобар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(сульфат бария с повы</w:t>
        <w:softHyphen/>
        <w:t xml:space="preserve">шенными адсорбционными свойствами) в дозе 25 г в 0,5 стакана воды,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альгинат кальция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или его соединение с гиалуроновой кис</w:t>
        <w:softHyphen/>
        <w:t xml:space="preserve">лотой —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альгисорб.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Защитный эффект альгината кальция и аль- гисорба по отношению к радиоактивному стронцию составляет 90%. Препараты применяют при приеме пищи в дозе 5,0 г (10 таблеток по 0,5 г) 3 раза в день, а при остром отравлении радио</w:t>
        <w:softHyphen/>
        <w:t>активным стронцием — в дозе 20 г однократно.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440" w:right="0" w:firstLine="32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03" w:right="500" w:bottom="847" w:left="21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Весьма эффективно (до 87%) резорбцию стронция предот</w:t>
        <w:softHyphen/>
        <w:t xml:space="preserve">вращает также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фосфалюгель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(100-200 мл внутрь).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Перечисленные препараты применяются в сочетании с про</w:t>
        <w:softHyphen/>
        <w:t>мыванием желудка, приемом слабительных средств и назначе</w:t>
        <w:softHyphen/>
        <w:t>нием очистительных клизм, водных нагрузок и диуретиков (при пероральном поступлении радионуклида) или на фоне исполь</w:t>
        <w:softHyphen/>
        <w:t>зования муколитиков, отхаркивающих препаратов, бронхопуль</w:t>
        <w:softHyphen/>
        <w:t>монального лаважа (при ингаляционном пути поглощения изо</w:t>
        <w:softHyphen/>
        <w:t>топа).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РАДИОАКТИВНЫЙ ПЛУТОНИЙ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Плутоний-239 (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239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Ри) — трансурановый элемент, а- и у-излу- чатель с периодом полураспада 24 360 лет.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Внешнее облучение плутонием-239 мало опасно для челове</w:t>
        <w:softHyphen/>
        <w:t>ка, а поступление этого изотопа внутрь организма, которое мо</w:t>
        <w:softHyphen/>
        <w:t>жет произойти алиментарным, ингаляционным путем, через по</w:t>
        <w:softHyphen/>
        <w:t>врежденную и даже неповрежденную кожу, требует проведения немедленных и весьма активных лечебных мероприятий. Посту</w:t>
        <w:softHyphen/>
        <w:t>пивший в организм плутоний откладывается в печени (45%), в скелете (45%), остальное его количество — в других органах и тканях и выводится с экскретами в ранние сроки после поступ</w:t>
        <w:softHyphen/>
        <w:t>ления. Биологический период полувыведения плутония-239 из скелета составляет 100 лет, а из печени — 40 лет.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После энтерального поступления плутония в клинической картине преобладают проявления поражения функций крове</w:t>
        <w:softHyphen/>
        <w:t>творения и кровообращения. Даже после поступления в орга</w:t>
        <w:softHyphen/>
        <w:t>низм малых доз этого радионуклида развивается хроническая форма поражения, проявляющаяся возникновением гипо- и гиперпластических процессов в системе крови, развитием остео</w:t>
        <w:softHyphen/>
        <w:t>дисплазии, цирроза печени, нефросклероза, а также злокачест</w:t>
        <w:softHyphen/>
        <w:t>венными новообразованиями в различных органах, наиболее часто в костях. При поступлении плутония через органы дыха</w:t>
        <w:softHyphen/>
        <w:t>ния развивается интерстициальный пневмонит, фибринозная пневмония и пневмосклероз, для поздних сроков характерно возникновение опухолей легких.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40" w:line="230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7435" w:h="12298"/>
          <w:pgMar w:top="1152" w:right="648" w:bottom="966" w:left="49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 числу наиболее эффективных средств, ускоряющих выве</w:t>
        <w:softHyphen/>
        <w:t xml:space="preserve">дение из организма радиоактивного плутония (а также изотопов америция, иттрия, церия, циркония и смеси продуктов деления урана), относится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пентацин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(кальций-тринатриевая соль диэти- лентриаминопентауксусной кислоты). Препарат уменьшает со</w:t>
        <w:softHyphen/>
        <w:t>держание фиксированных в тканях радионуклидов в печени на 60—65%, почках — в 2—3 раза, в костях скелета — на 20—35%. Препарат в виде раствора 50 мг/мл для внутривенного введения</w:t>
      </w:r>
    </w:p>
    <w:p>
      <w:pPr>
        <w:widowControl w:val="0"/>
        <w:spacing w:line="1" w:lineRule="exact"/>
      </w:pPr>
      <w:r>
        <w:drawing>
          <wp:anchor distT="0" distB="0" distL="114300" distR="114300" simplePos="0" relativeHeight="125829415" behindDoc="0" locked="0" layoutInCell="1" allowOverlap="1">
            <wp:simplePos x="0" y="0"/>
            <wp:positionH relativeFrom="page">
              <wp:posOffset>5113020</wp:posOffset>
            </wp:positionH>
            <wp:positionV relativeFrom="paragraph">
              <wp:posOffset>12700</wp:posOffset>
            </wp:positionV>
            <wp:extent cx="311150" cy="682625"/>
            <wp:wrapTopAndBottom/>
            <wp:docPr id="394" name="Shape 39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5" name="Picture box 395"/>
                    <pic:cNvPicPr/>
                  </pic:nvPicPr>
                  <pic:blipFill>
                    <a:blip r:embed="rId324"/>
                    <a:stretch/>
                  </pic:blipFill>
                  <pic:spPr>
                    <a:xfrm>
                      <a:ext cx="311150" cy="68262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125829416" behindDoc="0" locked="0" layoutInCell="1" allowOverlap="1">
            <wp:simplePos x="0" y="0"/>
            <wp:positionH relativeFrom="page">
              <wp:posOffset>22860</wp:posOffset>
            </wp:positionH>
            <wp:positionV relativeFrom="paragraph">
              <wp:posOffset>85090</wp:posOffset>
            </wp:positionV>
            <wp:extent cx="1292225" cy="7741920"/>
            <wp:wrapTight wrapText="bothSides">
              <wp:wrapPolygon>
                <wp:start x="0" y="0"/>
                <wp:lineTo x="11513" y="0"/>
                <wp:lineTo x="11513" y="21311"/>
                <wp:lineTo x="21600" y="21311"/>
                <wp:lineTo x="21600" y="21600"/>
                <wp:lineTo x="0" y="21600"/>
                <wp:lineTo x="0" y="0"/>
              </wp:wrapPolygon>
            </wp:wrapTight>
            <wp:docPr id="396" name="Shape 39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7" name="Picture box 397"/>
                    <pic:cNvPicPr/>
                  </pic:nvPicPr>
                  <pic:blipFill>
                    <a:blip r:embed="rId326"/>
                    <a:stretch/>
                  </pic:blipFill>
                  <pic:spPr>
                    <a:xfrm>
                      <a:ext cx="1292225" cy="774192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125829417" behindDoc="0" locked="0" layoutInCell="1" allowOverlap="1">
                <wp:simplePos x="0" y="0"/>
                <wp:positionH relativeFrom="page">
                  <wp:posOffset>1181100</wp:posOffset>
                </wp:positionH>
                <wp:positionV relativeFrom="paragraph">
                  <wp:posOffset>7230110</wp:posOffset>
                </wp:positionV>
                <wp:extent cx="347345" cy="149225"/>
                <wp:wrapTopAndBottom/>
                <wp:docPr id="398" name="Shape 398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347345" cy="14922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1 44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24" type="#_x0000_t202" style="position:absolute;margin-left:93.pt;margin-top:569.30000000000007pt;width:27.350000000000001pt;height:11.75pt;z-index:-125829336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1 44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выпускается в ампулах по 5 мл и применяется внутривенно и ин</w:t>
        <w:softHyphen/>
        <w:t>галяционно. Ингаляцию (аэрозоль из 5 мл 5% раствора препара</w:t>
        <w:softHyphen/>
        <w:t xml:space="preserve">та) применяют в первые сутки (желательно — в первые 30 мин)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после поступления плутония в легкие. Затем (спустя I сутки) пе реходят на внутривенный путь введения: курсовая (10—20 инъек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ций) терапия 5 мл 5% раствора через каждые 1-2 дня. После внутривенного введения пентацина скорость экскреции плуто</w:t>
        <w:softHyphen/>
        <w:t>ния увеличивается в 50—100 раз. Наиболее эффективен ранний курс терапии комплексоном: в первые часы после заражения он позволяет вывести из организма 50—60% плутония.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Тримефацин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(гексанатриевая дикальциевая соль диэтилентри-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аминпентаметилфосфоновой кислоты) также препятствует ре зорбции плутония, однако наиболее эффективно этот комплек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сон способствует выведению из организма урана и бериллия. Препарат применяют ингаляционно и внутривенно в виде 5% раствора. При остром отравлении ураном и бериллием в первый день тримефацин вводят однократно в дозе 40 мл 5% раствора, в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mc:AlternateContent>
          <mc:Choice Requires="wps">
            <w:drawing>
              <wp:anchor distT="0" distB="0" distL="0" distR="0" simplePos="0" relativeHeight="125829419" behindDoc="0" locked="0" layoutInCell="1" allowOverlap="1">
                <wp:simplePos x="0" y="0"/>
                <wp:positionH relativeFrom="page">
                  <wp:posOffset>5033645</wp:posOffset>
                </wp:positionH>
                <wp:positionV relativeFrom="paragraph">
                  <wp:posOffset>25400</wp:posOffset>
                </wp:positionV>
                <wp:extent cx="79375" cy="158750"/>
                <wp:wrapSquare wrapText="left"/>
                <wp:docPr id="400" name="Shape 400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79375" cy="15875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both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)-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26" type="#_x0000_t202" style="position:absolute;margin-left:396.35000000000002pt;margin-top:2.pt;width:6.25pt;height:12.5pt;z-index:-125829334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)-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последующие 2—3 дня дозу снижают до 20 мл в сутки. При по ступлении радионуклидов в дыхательные пути препарат приме няют как внутривенно, так и ингаляционно (20 мл раствора, вре мя ингаляции 15—20 мин).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 и при поступлении в организм других радионуклидов, при пероральном отравлении плутонием, ураном, бериллием, на</w:t>
        <w:softHyphen/>
        <w:t>ряду с применением специфических антидотов, необходимо про</w:t>
        <w:softHyphen/>
        <w:t>мывание желудка, прием адсорбентов, слабительных средств,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0" w:right="0" w:firstLine="0"/>
        <w:jc w:val="both"/>
      </w:pPr>
      <w:r>
        <mc:AlternateContent>
          <mc:Choice Requires="wps">
            <w:drawing>
              <wp:anchor distT="0" distB="0" distL="0" distR="0" simplePos="0" relativeHeight="125829421" behindDoc="0" locked="0" layoutInCell="1" allowOverlap="1">
                <wp:simplePos x="0" y="0"/>
                <wp:positionH relativeFrom="page">
                  <wp:posOffset>5036820</wp:posOffset>
                </wp:positionH>
                <wp:positionV relativeFrom="paragraph">
                  <wp:posOffset>25400</wp:posOffset>
                </wp:positionV>
                <wp:extent cx="76200" cy="158750"/>
                <wp:wrapSquare wrapText="left"/>
                <wp:docPr id="402" name="Shape 402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76200" cy="15875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both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»-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28" type="#_x0000_t202" style="position:absolute;margin-left:396.60000000000002pt;margin-top:2.pt;width:6.pt;height:12.5pt;z-index:-125829332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»-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форсированный диурез, поддержание pH мочи в пределах 8 с по мощью внутривенного введения бикарбоната натрия. При инга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ляцион ном поступлении указанных радионуклидов применяются отхаркивающие препараты, муколитики, а в тяжелых случаях — бронхопульмональный лаваж раствором пентацина.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РАДИОАКТИВНЫЙ ПОЛОНИЙ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Полоний-210 (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210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Ро) представляет собой а-излучатель с пе</w:t>
        <w:softHyphen/>
        <w:t>риодом полураспада 138,3 суток.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both"/>
        <w:sectPr>
          <w:headerReference w:type="default" r:id="rId328"/>
          <w:footerReference w:type="default" r:id="rId329"/>
          <w:headerReference w:type="even" r:id="rId330"/>
          <w:footerReference w:type="even" r:id="rId331"/>
          <w:footnotePr>
            <w:pos w:val="pageBottom"/>
            <w:numFmt w:val="chicago"/>
            <w:numRestart w:val="continuous"/>
            <w15:footnoteColumns w:val="1"/>
          </w:footnotePr>
          <w:pgSz w:w="8678" w:h="12776"/>
          <w:pgMar w:top="197" w:right="606" w:bottom="53" w:left="181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организм человека полоний-210 может проникнуть ингаля</w:t>
        <w:softHyphen/>
        <w:t>ционно, алиментарным путем, через поврежденную и даже не</w:t>
        <w:softHyphen/>
        <w:t>поврежденную кожу. В связи с высокой удельной активностью (4500 Ки в 1 г) и токсичностью серьезную опасность представля</w:t>
        <w:softHyphen/>
        <w:t>ет инкорпорация даже небольших по весу и объему количеств полония.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56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Распределение полония в организме сравнительно равномер</w:t>
        <w:softHyphen/>
        <w:t>ное, однако преимущественно он накапливается в органах, бога</w:t>
        <w:softHyphen/>
        <w:t>тых ретикулоэндотелиальной тканью. В ранние сроки после за</w:t>
        <w:softHyphen/>
        <w:t>ражения полоний выводится преимущественно (до 90%) с ка</w:t>
        <w:softHyphen/>
        <w:t xml:space="preserve">лом, позже — с мочой. Эффективный период полувыведения 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210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Ро составляет 30—40 суток.</w:t>
      </w:r>
    </w:p>
    <w:p>
      <w:pPr>
        <w:pStyle w:val="Style34"/>
        <w:keepNext w:val="0"/>
        <w:framePr w:dropCap="drop" w:hAnchor="text" w:lines="6" w:vAnchor="text" w:hSpace="346" w:vSpace="346"/>
        <w:widowControl w:val="0"/>
        <w:shd w:val="clear" w:color="auto" w:fill="auto"/>
        <w:spacing w:before="0" w:line="1377" w:lineRule="exact"/>
        <w:ind w:left="0" w:firstLine="0"/>
      </w:pPr>
      <w:r>
        <w:rPr>
          <w:rFonts w:ascii="Arial" w:eastAsia="Arial" w:hAnsi="Arial" w:cs="Arial"/>
          <w:color w:val="000000"/>
          <w:spacing w:val="0"/>
          <w:w w:val="100"/>
          <w:position w:val="-29"/>
          <w:sz w:val="154"/>
          <w:szCs w:val="154"/>
          <w:shd w:val="clear" w:color="auto" w:fill="auto"/>
          <w:lang w:val="ru-RU" w:eastAsia="ru-RU" w:bidi="ru-RU"/>
        </w:rPr>
        <w:t>(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Тканевая доза в критических органах формируется быстро (до 80% дозы за 100 дней), поэтому клинические проявления (а они наблюдаются уже при превышении допустимой дозы всего в 10—50 раз) развиваются сравнительно рано. Первичные призна</w:t>
        <w:softHyphen/>
        <w:t>ки — это изменения в капиллярах, в системе кровообращения в целом, в состоянии ферментных систем и желчеотделительной функции печени, преходящая билирубинемия, увеличение со</w:t>
        <w:softHyphen/>
        <w:t>держания альдолаз в сыворотке, нарушения почечного плазмо</w:t>
        <w:softHyphen/>
        <w:t>тока и пр.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56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алиментарном поступлении больших количеств поло</w:t>
        <w:softHyphen/>
        <w:t>ния-210 наблюдаются признаки, характерные для периода пер</w:t>
        <w:softHyphen/>
        <w:t>вичной реакции на облучение, после чего развивается скрытый период продолжительностью около недели. Для периода разгара характерен костномозговой синдром и печено-почечная недо</w:t>
        <w:softHyphen/>
        <w:t>статочность, на фоне которой наступает летальный исход.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9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связывания и ускорения элиминации из организма ра</w:t>
        <w:softHyphen/>
        <w:t>диоактивного полония можно использовать близкий к комплек</w:t>
        <w:softHyphen/>
        <w:t xml:space="preserve">сонам препарат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унитиол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(2,3-димеркаптопропансульфонат, ди- меркапрол), образующий с полонием комплексы и предотвраща</w:t>
        <w:softHyphen/>
        <w:t xml:space="preserve">ющий таким образом накопление этого радионуклида в почках, печени и костном мозге. Препарат выпускается в виде 5% рас- </w:t>
      </w:r>
      <w:r>
        <w:rPr>
          <w:color w:val="8A8A8A"/>
          <w:spacing w:val="0"/>
          <w:w w:val="100"/>
          <w:position w:val="0"/>
          <w:shd w:val="clear" w:color="auto" w:fill="auto"/>
          <w:lang w:val="ru-RU" w:eastAsia="ru-RU" w:bidi="ru-RU"/>
        </w:rPr>
        <w:t>|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твора для инъекций в ампулах по 5 мл. Унитиол применяют внутримышечно из расчета 1 мл 5% раствора на 10 кг массы тела как можно в более ранние сроки после поступления 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210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Ро в орга</w:t>
        <w:softHyphen/>
        <w:t>низм.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56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Для ускорения выведения полония вместо унитиола может быть также использован близкий к нему по структуре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оксатиол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(внутривенно капельно в виде 5% раствора по 7—10 мл на 10 кг массы тела 3-4 раза в сутки). Кроме антидота назначают промы</w:t>
        <w:softHyphen/>
        <w:t>вание желудка, прием адсорбентов, слабительных средств, фор</w:t>
        <w:softHyphen/>
        <w:t>сированный диурез и другие мероприятия, обычно проводимые при отравлении радионуклидами.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560" w:right="0" w:firstLine="360"/>
        <w:jc w:val="both"/>
        <w:sectPr>
          <w:headerReference w:type="default" r:id="rId332"/>
          <w:footerReference w:type="default" r:id="rId333"/>
          <w:headerReference w:type="even" r:id="rId334"/>
          <w:footerReference w:type="even" r:id="rId335"/>
          <w:footnotePr>
            <w:pos w:val="pageBottom"/>
            <w:numFmt w:val="chicago"/>
            <w:numRestart w:val="continuous"/>
            <w15:footnoteColumns w:val="1"/>
          </w:footnotePr>
          <w:pgSz w:w="8678" w:h="12776"/>
          <w:pgMar w:top="1434" w:right="1138" w:bottom="1105" w:left="672" w:header="1006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Основные клинические проявления, обусловленные инкор</w:t>
        <w:softHyphen/>
        <w:t>порацией актуальных радионуклидов, и подходы к их лечению приведены в табл. 15.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right"/>
      </w:pPr>
      <w:r>
        <mc:AlternateContent>
          <mc:Choice Requires="wps">
            <w:drawing>
              <wp:anchor distT="0" distB="0" distL="76200" distR="76200" simplePos="0" relativeHeight="125829423" behindDoc="0" locked="0" layoutInCell="1" allowOverlap="1">
                <wp:simplePos x="0" y="0"/>
                <wp:positionH relativeFrom="page">
                  <wp:posOffset>435610</wp:posOffset>
                </wp:positionH>
                <wp:positionV relativeFrom="paragraph">
                  <wp:posOffset>-50800</wp:posOffset>
                </wp:positionV>
                <wp:extent cx="140335" cy="381000"/>
                <wp:wrapSquare wrapText="bothSides"/>
                <wp:docPr id="408" name="Shape 408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0335" cy="38100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 xml:space="preserve">1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4В</w:t>
                            </w:r>
                          </w:p>
                        </w:txbxContent>
                      </wps:txbx>
                      <wps:bodyPr upright="1" vert="vert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34" type="#_x0000_t202" style="position:absolute;margin-left:34.300000000000004pt;margin-top:-4.pt;width:11.050000000000001pt;height:30.pt;z-index:-125829330;mso-wrap-distance-left:6.pt;mso-wrap-distance-right:6.pt;mso-position-horizontal-relative:page" filled="f" stroked="f">
                <v:textbox style="layout-flow:vertical" inset="0,0,0,0">
                  <w:txbxContent>
                    <w:p>
                      <w:pPr>
                        <w:pStyle w:val="Style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 xml:space="preserve">1 </w:t>
                      </w:r>
                      <w:r>
                        <w:rPr>
                          <w:b/>
                          <w:bCs/>
                          <w:i/>
                          <w:iCs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4В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Таблица 15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 w:firstLine="0"/>
        <w:jc w:val="center"/>
        <w:rPr>
          <w:sz w:val="18"/>
          <w:szCs w:val="18"/>
        </w:rPr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>Основные клинические проявления, обусловленные острым однократным поступлением</w:t>
        <w:br/>
        <w:t>некоторых радионуклидов внутрь организма человека,</w:t>
        <w:br/>
        <w:t>методы их определения и программы специализированной терапии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(по Г. М. Аветисову и др., 1999)</w:t>
      </w:r>
    </w:p>
    <w:p>
      <w:pPr>
        <w:widowControl w:val="0"/>
        <w:spacing w:line="1" w:lineRule="exact"/>
      </w:pPr>
      <w:r>
        <w:drawing>
          <wp:anchor distT="241300" distB="0" distL="0" distR="0" simplePos="0" relativeHeight="125829425" behindDoc="0" locked="0" layoutInCell="1" allowOverlap="1">
            <wp:simplePos x="0" y="0"/>
            <wp:positionH relativeFrom="page">
              <wp:posOffset>30480</wp:posOffset>
            </wp:positionH>
            <wp:positionV relativeFrom="paragraph">
              <wp:posOffset>241300</wp:posOffset>
            </wp:positionV>
            <wp:extent cx="7668895" cy="433070"/>
            <wp:wrapTopAndBottom/>
            <wp:docPr id="410" name="Shape 41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1" name="Picture box 411"/>
                    <pic:cNvPicPr/>
                  </pic:nvPicPr>
                  <pic:blipFill>
                    <a:blip r:embed="rId336"/>
                    <a:stretch/>
                  </pic:blipFill>
                  <pic:spPr>
                    <a:xfrm>
                      <a:ext cx="7668895" cy="433070"/>
                    </a:xfrm>
                    <a:prstGeom prst="rect"/>
                  </pic:spPr>
                </pic:pic>
              </a:graphicData>
            </a:graphic>
          </wp:anchor>
        </w:drawing>
      </w:r>
    </w:p>
    <w:tbl>
      <w:tblPr>
        <w:tblOverlap w:val="never"/>
        <w:jc w:val="center"/>
        <w:tblLayout w:type="fixed"/>
      </w:tblPr>
      <w:tblGrid>
        <w:gridCol w:w="1234"/>
        <w:gridCol w:w="1406"/>
        <w:gridCol w:w="1315"/>
        <w:gridCol w:w="1642"/>
        <w:gridCol w:w="1742"/>
        <w:gridCol w:w="2659"/>
      </w:tblGrid>
      <w:tr>
        <w:trPr>
          <w:trHeight w:val="1042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52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Радионуклид (период полураспада)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52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Растворимость соединения радионуклида (путь поступления)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Критический орган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52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Основные клинические проявления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Методы определения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Методы специализированной терапии</w:t>
            </w:r>
          </w:p>
        </w:tc>
      </w:tr>
      <w:tr>
        <w:trPr>
          <w:trHeight w:val="998" w:hRule="exact"/>
        </w:trPr>
        <w:tc>
          <w:tcPr>
            <w:vMerge w:val="restart"/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1" w:lineRule="auto"/>
              <w:ind w:left="0" w:right="0" w:firstLine="0"/>
              <w:jc w:val="both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Кобальт-58 (70,8 суток) Кобальт-60 (5,27 года)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Растворимое (пероральное)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Костный мозг, толстая кишка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Преходящая лейкопения, дефекты слизистой оболочки толстой кишки, денудация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Измерение активности всего тела (СИЧ), легких (СИЧ), проб мочи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Промывание желудка, сорбенты, пентацин</w:t>
            </w:r>
          </w:p>
        </w:tc>
      </w:tr>
      <w:tr>
        <w:trPr>
          <w:trHeight w:val="648" w:hRule="exact"/>
        </w:trPr>
        <w:tc>
          <w:tcPr>
            <w:vMerge/>
            <w:tcBorders/>
            <w:shd w:val="clear" w:color="auto" w:fill="auto"/>
            <w:vAlign w:val="center"/>
          </w:tcPr>
          <w:p>
            <w:pPr/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Нерастворимое (ингаляционное)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Легкие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Интерстициальные поражения легких, пневмосклероз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Измерение активности легких (СИЧ)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both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Бронхопульмональный лаваж, отхаркивающие, муколитики, пентацин</w:t>
            </w:r>
          </w:p>
        </w:tc>
      </w:tr>
      <w:tr>
        <w:trPr>
          <w:trHeight w:val="1186" w:hRule="exact"/>
        </w:trPr>
        <w:tc>
          <w:tcPr>
            <w:vMerge w:val="restart"/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6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Стронций-89 (50,5 суток)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Стронций-90 (29 лет)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Растворимое (пероральное)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Костный мозг, толстая кишка, слизистые оболочки, костные ткани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Гипоплазия костного мозга, дефекты слизистой оболочки полости рта, толстой кишки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Измерение активности проб мочи (радиохимический анализ)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Промывание желудка, сорбенты (полисурьмин, сульфат бария, адсобар, альгинат натрия, альгисорб, фосфалюгель), слабительное, водная нагрузка, мочегонные, препараты кальция</w:t>
            </w:r>
          </w:p>
        </w:tc>
      </w:tr>
      <w:tr>
        <w:trPr>
          <w:trHeight w:val="1210" w:hRule="exact"/>
        </w:trPr>
        <w:tc>
          <w:tcPr>
            <w:vMerge/>
            <w:tcBorders>
              <w:bottom w:val="single" w:sz="4"/>
            </w:tcBorders>
            <w:shd w:val="clear" w:color="auto" w:fill="auto"/>
            <w:vAlign w:val="center"/>
          </w:tcPr>
          <w:p>
            <w:pPr/>
          </w:p>
        </w:tc>
        <w:tc>
          <w:tcPr>
            <w:tcBorders>
              <w:top w:val="single" w:sz="4"/>
              <w:left w:val="single" w:sz="4"/>
              <w:bottom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Нерастворимое (ингаляционное)</w:t>
            </w:r>
          </w:p>
        </w:tc>
        <w:tc>
          <w:tcPr>
            <w:tcBorders>
              <w:top w:val="single" w:sz="4"/>
              <w:left w:val="single" w:sz="4"/>
              <w:bottom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Легкие, верхние дыхательные пути</w:t>
            </w:r>
          </w:p>
        </w:tc>
        <w:tc>
          <w:tcPr>
            <w:tcBorders>
              <w:top w:val="single" w:sz="4"/>
              <w:left w:val="single" w:sz="4"/>
              <w:bottom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Интерстициальные поражения легких, пневмосклероз</w:t>
            </w:r>
          </w:p>
        </w:tc>
        <w:tc>
          <w:tcPr>
            <w:tcBorders>
              <w:top w:val="single" w:sz="4"/>
              <w:left w:val="single" w:sz="4"/>
              <w:bottom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Измерение активности промывных вод после диагностического лаважа легких</w:t>
            </w:r>
          </w:p>
        </w:tc>
        <w:tc>
          <w:tcPr>
            <w:tcBorders>
              <w:top w:val="single" w:sz="4"/>
              <w:left w:val="single" w:sz="4"/>
              <w:bottom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Бронхопульмональный лаваж, отхаркивающие, муколитики, сорбенты (полисурьмин, сульфат бария, адсобар, альгинат натрия, альгисорб, фосфалюгель), препараты кальция</w:t>
            </w:r>
          </w:p>
        </w:tc>
      </w:tr>
    </w:tbl>
    <w:p>
      <w:pPr>
        <w:widowControl w:val="0"/>
        <w:spacing w:line="1" w:lineRule="exact"/>
      </w:pPr>
    </w:p>
    <w:tbl>
      <w:tblPr>
        <w:tblOverlap w:val="never"/>
        <w:jc w:val="center"/>
        <w:tblLayout w:type="fixed"/>
      </w:tblPr>
      <w:tblGrid>
        <w:gridCol w:w="1243"/>
        <w:gridCol w:w="1406"/>
        <w:gridCol w:w="1315"/>
        <w:gridCol w:w="1637"/>
        <w:gridCol w:w="1742"/>
        <w:gridCol w:w="2645"/>
      </w:tblGrid>
      <w:tr>
        <w:trPr>
          <w:trHeight w:val="1320" w:hRule="exact"/>
        </w:trPr>
        <w:tc>
          <w:tcPr>
            <w:vMerge w:val="restart"/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7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Йод-129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(1,57x1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7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 лет)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2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Йод-131 (8,04 суток)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Растворимое (пероральное)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Щитовидная железа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Тиреоидит, тиреонекроз, в отдаленные сроки — гипотиреоз, образование узлов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Измерение активности всего тела (СИЧ), щитовидной железы, проб мочи (радиохимический анализ)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Промывание желудка, сорбенты, слабительное, препараты стабильного йода (йодид калия, настойка йода, раствор Люголя)</w:t>
            </w:r>
          </w:p>
        </w:tc>
      </w:tr>
      <w:tr>
        <w:trPr>
          <w:trHeight w:val="1258" w:hRule="exact"/>
        </w:trPr>
        <w:tc>
          <w:tcPr>
            <w:vMerge/>
            <w:tcBorders>
              <w:left w:val="single" w:sz="4"/>
            </w:tcBorders>
            <w:shd w:val="clear" w:color="auto" w:fill="auto"/>
            <w:vAlign w:val="center"/>
          </w:tcPr>
          <w:p>
            <w:pPr/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Нерастворимое (ингаляционное)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Легкие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Интерстициальные поражения легких, пневмосклероз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4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Измерение активности всего тела (СИЧ), легких (СИЧ), промывных вод после диагностического лаважа легких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both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Препараты стабильного йода (йодид калия, настойка йода, раствор Люголя), отхаркивающие, муколитики, лечебные ингаляции</w:t>
            </w:r>
          </w:p>
        </w:tc>
      </w:tr>
      <w:tr>
        <w:trPr>
          <w:trHeight w:val="1450" w:hRule="exact"/>
        </w:trPr>
        <w:tc>
          <w:tcPr>
            <w:vMerge w:val="restart"/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Цезий-134 (2,062 года)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Цезий-137 (30 лет)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2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Растворимое (пероральное)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4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Костный мозг, слизистые оболочки, мышцы, нервная система,печень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Гипоплазия костного мозга, цитопения в периферической крови, дисферментопатия печени и мышечной системы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4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Измерение активности всего тела (СИЧ), проб мочи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Промывание желудка, ферроцин, слабительное, форсированный диурез, парентеральное введение растворов солей калия</w:t>
            </w:r>
          </w:p>
        </w:tc>
      </w:tr>
      <w:tr>
        <w:trPr>
          <w:trHeight w:val="1339" w:hRule="exact"/>
        </w:trPr>
        <w:tc>
          <w:tcPr>
            <w:vMerge/>
            <w:tcBorders>
              <w:left w:val="single" w:sz="4"/>
              <w:bottom w:val="single" w:sz="4"/>
            </w:tcBorders>
            <w:shd w:val="clear" w:color="auto" w:fill="auto"/>
            <w:vAlign w:val="center"/>
          </w:tcPr>
          <w:p>
            <w:pPr/>
          </w:p>
        </w:tc>
        <w:tc>
          <w:tcPr>
            <w:tcBorders>
              <w:top w:val="single" w:sz="4"/>
              <w:left w:val="single" w:sz="4"/>
              <w:bottom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Нерастворимое (ингаляционное)</w:t>
            </w:r>
          </w:p>
        </w:tc>
        <w:tc>
          <w:tcPr>
            <w:tcBorders>
              <w:top w:val="single" w:sz="4"/>
              <w:left w:val="single" w:sz="4"/>
              <w:bottom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Легкие</w:t>
            </w:r>
          </w:p>
        </w:tc>
        <w:tc>
          <w:tcPr>
            <w:tcBorders>
              <w:top w:val="single" w:sz="4"/>
              <w:left w:val="single" w:sz="4"/>
              <w:bottom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1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Интерстициальные поражения легких, пневмосклероз</w:t>
            </w:r>
          </w:p>
        </w:tc>
        <w:tc>
          <w:tcPr>
            <w:tcBorders>
              <w:top w:val="single" w:sz="4"/>
              <w:left w:val="single" w:sz="4"/>
              <w:bottom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Измерение активности легких (СИЧ), промывных вод после диагностического лаважа легких</w:t>
            </w:r>
          </w:p>
        </w:tc>
        <w:tc>
          <w:tcPr>
            <w:tcBorders>
              <w:top w:val="single" w:sz="4"/>
              <w:left w:val="single" w:sz="4"/>
              <w:bottom w:val="single" w:sz="4"/>
              <w:righ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1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Отхаркивающие, муколитики, лечебные ингаляции, бронхопульмональный лаваж, ферроцин</w:t>
            </w:r>
          </w:p>
        </w:tc>
      </w:tr>
    </w:tbl>
    <w:p>
      <w:pPr>
        <w:widowControl w:val="0"/>
        <w:spacing w:line="1" w:lineRule="exact"/>
      </w:pPr>
      <w:r>
        <w:br w:type="page"/>
      </w:r>
    </w:p>
    <w:tbl>
      <w:tblPr>
        <w:tblOverlap w:val="never"/>
        <w:jc w:val="center"/>
        <w:tblLayout w:type="fixed"/>
      </w:tblPr>
      <w:tblGrid>
        <w:gridCol w:w="1229"/>
        <w:gridCol w:w="1411"/>
        <w:gridCol w:w="1315"/>
        <w:gridCol w:w="1646"/>
        <w:gridCol w:w="1738"/>
        <w:gridCol w:w="2645"/>
      </w:tblGrid>
      <w:tr>
        <w:trPr>
          <w:trHeight w:val="1094" w:hRule="exact"/>
        </w:trPr>
        <w:tc>
          <w:tcPr>
            <w:tcBorders/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60" w:line="262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Уран обогащенный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88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Уран-238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 xml:space="preserve">(4,47x109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лет)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Нерастворимое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(ингаляционное)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Легкие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Интерстициальные поражения легких, пневмосклероз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Измерение активности промывных вод после диагностического лаважа легких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9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Отхаркивающие, муколитики, лечебные ингаляции, бронхопульмональный лаваж, тримефацин</w:t>
            </w:r>
          </w:p>
        </w:tc>
      </w:tr>
      <w:tr>
        <w:trPr>
          <w:trHeight w:val="2587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Плутоний-238 (87,7 года)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88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Плутоний-239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(2,41x1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vertAlign w:val="superscript"/>
                <w:lang w:val="ru-RU" w:eastAsia="ru-RU" w:bidi="ru-RU"/>
              </w:rPr>
              <w:t>4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 xml:space="preserve"> лет)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7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Плутоний-241 (14,4 года)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Растворимое (пероральное)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Костный мозг, печень, костные ткани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Гипоплазия костного мозга, остеодисплазии, нарушения функций печени по типу гепатита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ос-Радиометрия проб мочи, кала и т. п. после радиохимического анализа; измерение активности легких, скелета, печени (СИЧ); измерение в жидком сцинтилляторе после радиохимического анализа (для плутония-241)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Промывание желудка, сорбенты, слабительное, форсированный диурез, пентацин</w:t>
            </w:r>
          </w:p>
        </w:tc>
      </w:tr>
      <w:tr>
        <w:trPr>
          <w:trHeight w:val="1123" w:hRule="exact"/>
        </w:trPr>
        <w:tc>
          <w:tcPr>
            <w:tcBorders/>
            <w:shd w:val="clear" w:color="auto" w:fill="auto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Нерастворимое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(ингаляционное)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Легкие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Интерстициальные поражения легких, пневмосклероз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Измерения активности легких (СИЧ) и проб бронхиальных смывов, мочи и т. п.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1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Отхаркивающие, муколитики, бронхопульмональный лаваж, пентацин</w:t>
            </w:r>
          </w:p>
        </w:tc>
      </w:tr>
    </w:tbl>
    <w:p>
      <w:pPr>
        <w:widowControl w:val="0"/>
        <w:spacing w:line="1" w:lineRule="exact"/>
        <w:sectPr>
          <w:headerReference w:type="default" r:id="rId338"/>
          <w:footerReference w:type="default" r:id="rId339"/>
          <w:headerReference w:type="even" r:id="rId340"/>
          <w:footerReference w:type="even" r:id="rId341"/>
          <w:footnotePr>
            <w:pos w:val="pageBottom"/>
            <w:numFmt w:val="chicago"/>
            <w:numRestart w:val="continuous"/>
            <w15:footnoteColumns w:val="1"/>
          </w:footnotePr>
          <w:pgSz w:w="12240" w:h="15840"/>
          <w:pgMar w:top="1627" w:right="1084" w:bottom="1297" w:left="1118" w:header="1199" w:footer="869" w:gutter="0"/>
          <w:cols w:space="720"/>
          <w:noEndnote/>
          <w:rtlGutter w:val="0"/>
          <w:docGrid w:linePitch="360"/>
        </w:sectPr>
      </w:pPr>
      <w:r>
        <mc:AlternateContent>
          <mc:Choice Requires="wps">
            <w:drawing>
              <wp:anchor distT="0" distB="4413885" distL="532130" distR="7225030" simplePos="0" relativeHeight="125829426" behindDoc="0" locked="0" layoutInCell="1" allowOverlap="1">
                <wp:simplePos x="0" y="0"/>
                <wp:positionH relativeFrom="page">
                  <wp:posOffset>417830</wp:posOffset>
                </wp:positionH>
                <wp:positionV relativeFrom="margin">
                  <wp:posOffset>-54610</wp:posOffset>
                </wp:positionV>
                <wp:extent cx="125095" cy="286385"/>
                <wp:wrapTopAndBottom/>
                <wp:docPr id="412" name="Shape 412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25095" cy="28638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1 4Е</w:t>
                            </w:r>
                          </w:p>
                        </w:txbxContent>
                      </wps:txbx>
                      <wps:bodyPr upright="1" vert="vert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38" type="#_x0000_t202" style="position:absolute;margin-left:32.899999999999999pt;margin-top:-4.2999999999999998pt;width:9.8499999999999996pt;height:22.550000000000001pt;z-index:-125829327;mso-wrap-distance-left:41.899999999999999pt;mso-wrap-distance-right:568.89999999999998pt;mso-wrap-distance-bottom:347.55000000000001pt;mso-position-horizontal-relative:page;mso-position-vertical-relative:margin" filled="f" stroked="f">
                <v:textbox style="layout-flow:vertical" inset="0,0,0,0">
                  <w:txbxContent>
                    <w:p>
                      <w:pPr>
                        <w:pStyle w:val="Style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1 4Е</w:t>
                      </w:r>
                    </w:p>
                  </w:txbxContent>
                </v:textbox>
                <w10:wrap type="topAndBottom" anchorx="page" anchory="margin"/>
              </v:shape>
            </w:pict>
          </mc:Fallback>
        </mc:AlternateContent>
      </w:r>
      <w:r>
        <mc:AlternateContent>
          <mc:Choice Requires="wps">
            <w:drawing>
              <wp:anchor distT="189230" distB="1014730" distL="824230" distR="702945" simplePos="0" relativeHeight="125829428" behindDoc="0" locked="0" layoutInCell="1" allowOverlap="1">
                <wp:simplePos x="0" y="0"/>
                <wp:positionH relativeFrom="page">
                  <wp:posOffset>709930</wp:posOffset>
                </wp:positionH>
                <wp:positionV relativeFrom="margin">
                  <wp:posOffset>134620</wp:posOffset>
                </wp:positionV>
                <wp:extent cx="6355080" cy="3496310"/>
                <wp:wrapTopAndBottom/>
                <wp:docPr id="414" name="Shape 414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6355080" cy="3496310"/>
                        </a:xfrm>
                        <a:prstGeom prst="rect"/>
                        <a:noFill/>
                      </wps:spPr>
                      <wps:txbx>
                        <w:txbxContent>
                          <w:tbl>
                            <w:tblPr>
                              <w:tblOverlap w:val="never"/>
                              <w:jc w:val="left"/>
                              <w:tblLayout w:type="fixed"/>
                            </w:tblPr>
                            <w:tblGrid>
                              <w:gridCol w:w="1224"/>
                              <w:gridCol w:w="1406"/>
                              <w:gridCol w:w="1320"/>
                              <w:gridCol w:w="1642"/>
                              <w:gridCol w:w="1747"/>
                              <w:gridCol w:w="2669"/>
                            </w:tblGrid>
                            <w:tr>
                              <w:trPr>
                                <w:tblHeader/>
                                <w:trHeight w:val="1032" w:hRule="exact"/>
                              </w:trPr>
                              <w:tc>
                                <w:tcPr>
                                  <w:tcBorders>
                                    <w:top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Радионуклид (период полураспада)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bottom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Растворимость соединения радионуклида (путь поступления)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Критический орган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Основные клинические проявления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62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Методы определения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54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Методы специализированной терапии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1642" w:hRule="exact"/>
                              </w:trPr>
                              <w:tc>
                                <w:tcPr>
                                  <w:vMerge w:val="restart"/>
                                  <w:tcBorders>
                                    <w:top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62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Полоний-210 (138,4 суток)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66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Растворимое (пероральное, ингаляционное)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66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Почки, органы ретикуло</w:t>
                                    <w:softHyphen/>
                                    <w:t>эндотелиальной системы, костный мозг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bottom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64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Геморрагический синдром, гепатит, токсическая нефропатия, острая почечная и печеночная дистрофия, лимфопения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66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Измерение активности проб мочи (радиохимический анализ)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66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Промывание желудка, сорбенты, слабительное, форсированный диурез, унитиол (оксатиол)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864" w:hRule="exact"/>
                              </w:trPr>
                              <w:tc>
                                <w:tcPr>
                                  <w:vMerge/>
                                  <w:tcBorders/>
                                  <w:shd w:val="clear" w:color="auto" w:fill="auto"/>
                                  <w:vAlign w:val="center"/>
                                </w:tcPr>
                                <w:p>
                                  <w:pPr/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66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Нерастворимое (ингаляционное)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Легкие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64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Интерстициальные поражения легких, пневмосклероз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62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Измерение активности легких (СИЧ)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bottom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64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Отхаркивающие, муколитики, лечебные ингаляции, бронхопульмональный лаваж, унитиол (оксатиол)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1968" w:hRule="exact"/>
                              </w:trPr>
                              <w:tc>
                                <w:tcPr>
                                  <w:tcBorders>
                                    <w:top w:val="single" w:sz="4"/>
                                  </w:tcBorders>
                                  <w:shd w:val="clear" w:color="auto" w:fill="auto"/>
                                  <w:vAlign w:val="bottom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95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Уран-234 (2,45х10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vertAlign w:val="superscript"/>
                                      <w:lang w:val="ru-RU" w:eastAsia="ru-RU" w:bidi="ru-RU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 xml:space="preserve"> лет)</w:t>
                                  </w:r>
                                </w:p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88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Уран-235 (7,04х10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vertAlign w:val="superscript"/>
                                      <w:lang w:val="ru-RU" w:eastAsia="ru-RU" w:bidi="ru-RU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 xml:space="preserve"> лет)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  <w:bottom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66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Растворимое (пероральное)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  <w:bottom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66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Почки, костный мозг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  <w:bottom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64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Токсическая нефропатия (нефротический синдром), острая почечная недостаточность, умеренная гипоплазия костного мозга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  <w:bottom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66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Измерения активности проб мочи, кала и т. п. (радиохимический анализ)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  <w:bottom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64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Промывание желудка, сорбенты (двузамещенный фосфат натрия), слабительное, форсированный диурез, тримефацин, при острой почечной недостаточности — гемосорбция и гемодиализ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widowControl w:val="0"/>
                              <w:spacing w:line="1" w:lineRule="exact"/>
                            </w:pP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40" type="#_x0000_t202" style="position:absolute;margin-left:55.899999999999999pt;margin-top:10.6pt;width:500.40000000000003pt;height:275.30000000000001pt;z-index:-125829325;mso-wrap-distance-left:64.900000000000006pt;mso-wrap-distance-top:14.9pt;mso-wrap-distance-right:55.350000000000001pt;mso-wrap-distance-bottom:79.900000000000006pt;mso-position-horizontal-relative:page;mso-position-vertical-relative:margin" filled="f" stroked="f">
                <v:textbox inset="0,0,0,0">
                  <w:txbxContent>
                    <w:tbl>
                      <w:tblPr>
                        <w:tblOverlap w:val="never"/>
                        <w:jc w:val="left"/>
                        <w:tblLayout w:type="fixed"/>
                      </w:tblPr>
                      <w:tblGrid>
                        <w:gridCol w:w="1224"/>
                        <w:gridCol w:w="1406"/>
                        <w:gridCol w:w="1320"/>
                        <w:gridCol w:w="1642"/>
                        <w:gridCol w:w="1747"/>
                        <w:gridCol w:w="2669"/>
                      </w:tblGrid>
                      <w:tr>
                        <w:trPr>
                          <w:tblHeader/>
                          <w:trHeight w:val="1032" w:hRule="exact"/>
                        </w:trPr>
                        <w:tc>
                          <w:tcPr>
                            <w:tcBorders>
                              <w:top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Радионуклид (период полураспада)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bottom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Растворимость соединения радионуклида (путь поступления)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Критический орган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Основные клинические проявления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2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Методы определения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54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Методы специализированной терапии</w:t>
                            </w:r>
                          </w:p>
                        </w:tc>
                      </w:tr>
                      <w:tr>
                        <w:trPr>
                          <w:trHeight w:val="1642" w:hRule="exact"/>
                        </w:trPr>
                        <w:tc>
                          <w:tcPr>
                            <w:vMerge w:val="restart"/>
                            <w:tcBorders>
                              <w:top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2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Полоний-210 (138,4 суток)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6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Растворимое (пероральное, ингаляционное)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6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Почки, органы ретикуло</w:t>
                              <w:softHyphen/>
                              <w:t>эндотелиальной системы, костный мозг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bottom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4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Геморрагический синдром, гепатит, токсическая нефропатия, острая почечная и печеночная дистрофия, лимфопения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6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Измерение активности проб мочи (радиохимический анализ)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6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Промывание желудка, сорбенты, слабительное, форсированный диурез, унитиол (оксатиол)</w:t>
                            </w:r>
                          </w:p>
                        </w:tc>
                      </w:tr>
                      <w:tr>
                        <w:trPr>
                          <w:trHeight w:val="864" w:hRule="exact"/>
                        </w:trPr>
                        <w:tc>
                          <w:tcPr>
                            <w:vMerge/>
                            <w:tcBorders/>
                            <w:shd w:val="clear" w:color="auto" w:fill="auto"/>
                            <w:vAlign w:val="center"/>
                          </w:tcPr>
                          <w:p>
                            <w:pPr/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6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Нерастворимое (ингаляционное)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Легкие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4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Интерстициальные поражения легких, пневмосклероз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2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Измерение активности легких (СИЧ)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bottom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4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Отхаркивающие, муколитики, лечебные ингаляции, бронхопульмональный лаваж, унитиол (оксатиол)</w:t>
                            </w:r>
                          </w:p>
                        </w:tc>
                      </w:tr>
                      <w:tr>
                        <w:trPr>
                          <w:trHeight w:val="1968" w:hRule="exact"/>
                        </w:trPr>
                        <w:tc>
                          <w:tcPr>
                            <w:tcBorders>
                              <w:top w:val="single" w:sz="4"/>
                            </w:tcBorders>
                            <w:shd w:val="clear" w:color="auto" w:fill="auto"/>
                            <w:vAlign w:val="bottom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95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Уран-234 (2,45х10</w:t>
                            </w: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vertAlign w:val="superscript"/>
                                <w:lang w:val="ru-RU" w:eastAsia="ru-RU" w:bidi="ru-RU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 xml:space="preserve"> лет)</w:t>
                            </w:r>
                          </w:p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88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Уран-235 (7,04х10</w:t>
                            </w: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vertAlign w:val="superscript"/>
                                <w:lang w:val="ru-RU" w:eastAsia="ru-RU" w:bidi="ru-RU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 xml:space="preserve"> лет)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  <w:bottom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6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Растворимое (пероральное)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  <w:bottom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6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Почки, костный мозг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  <w:bottom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4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Токсическая нефропатия (нефротический синдром), острая почечная недостаточность, умеренная гипоплазия костного мозга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  <w:bottom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6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Измерения активности проб мочи, кала и т. п. (радиохимический анализ)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  <w:bottom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4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Промывание желудка, сорбенты (двузамещенный фосфат натрия), слабительное, форсированный диурез, тримефацин, при острой почечной недостаточности — гемосорбция и гемодиализ</w:t>
                            </w:r>
                          </w:p>
                        </w:tc>
                      </w:tr>
                    </w:tbl>
                    <w:p>
                      <w:pPr>
                        <w:widowControl w:val="0"/>
                        <w:spacing w:line="1" w:lineRule="exact"/>
                      </w:pPr>
                    </w:p>
                  </w:txbxContent>
                </v:textbox>
                <w10:wrap type="topAndBottom" anchorx="page" anchory="margin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503316486" behindDoc="0" locked="0" layoutInCell="1" allowOverlap="1">
                <wp:simplePos x="0" y="0"/>
                <wp:positionH relativeFrom="page">
                  <wp:posOffset>5882640</wp:posOffset>
                </wp:positionH>
                <wp:positionV relativeFrom="margin">
                  <wp:posOffset>12700</wp:posOffset>
                </wp:positionV>
                <wp:extent cx="1167130" cy="133985"/>
                <wp:wrapNone/>
                <wp:docPr id="416" name="Shape 416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167130" cy="13398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7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b w:val="0"/>
                                <w:bCs w:val="0"/>
                                <w:i/>
                                <w:iCs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Окончание таблицы 15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42" type="#_x0000_t202" style="position:absolute;margin-left:463.19999999999999pt;margin-top:1.pt;width:91.900000000000006pt;height:10.550000000000001pt;z-index:251657733;mso-wrap-distance-left:0;mso-wrap-distance-right:0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7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5"/>
                          <w:szCs w:val="15"/>
                        </w:rPr>
                      </w:pPr>
                      <w:r>
                        <w:rPr>
                          <w:b w:val="0"/>
                          <w:bCs w:val="0"/>
                          <w:i/>
                          <w:iCs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auto"/>
                          <w:lang w:val="ru-RU" w:eastAsia="ru-RU" w:bidi="ru-RU"/>
                        </w:rPr>
                        <w:t>Окончание таблицы 15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>
        <w:drawing>
          <wp:anchor distT="4331335" distB="0" distL="114300" distR="114300" simplePos="0" relativeHeight="125829430" behindDoc="0" locked="0" layoutInCell="1" allowOverlap="1">
            <wp:simplePos x="0" y="0"/>
            <wp:positionH relativeFrom="page">
              <wp:posOffset>0</wp:posOffset>
            </wp:positionH>
            <wp:positionV relativeFrom="margin">
              <wp:posOffset>4276725</wp:posOffset>
            </wp:positionV>
            <wp:extent cx="7656830" cy="372110"/>
            <wp:wrapTopAndBottom/>
            <wp:docPr id="418" name="Shape 41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" name="Picture box 419"/>
                    <pic:cNvPicPr/>
                  </pic:nvPicPr>
                  <pic:blipFill>
                    <a:blip r:embed="rId342"/>
                    <a:stretch/>
                  </pic:blipFill>
                  <pic:spPr>
                    <a:xfrm>
                      <a:ext cx="7656830" cy="37211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29" w:after="2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chicago"/>
            <w:numRestart w:val="continuous"/>
            <w15:footnoteColumns w:val="1"/>
          </w:footnotePr>
          <w:type w:val="continuous"/>
          <w:pgSz w:w="12240" w:h="15840"/>
          <w:pgMar w:top="1555" w:right="0" w:bottom="280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8"/>
        <w:keepNext w:val="0"/>
        <w:keepLines w:val="0"/>
        <w:framePr w:w="211" w:h="422" w:wrap="none" w:vAnchor="text" w:hAnchor="page" w:x="702" w:y="21"/>
        <w:widowControl w:val="0"/>
        <w:shd w:val="clear" w:color="auto" w:fill="auto"/>
        <w:bidi w:val="0"/>
        <w:spacing w:before="0" w:after="0" w:line="202" w:lineRule="auto"/>
        <w:ind w:left="0" w:right="0" w:firstLine="0"/>
        <w:jc w:val="left"/>
        <w:rPr>
          <w:sz w:val="19"/>
          <w:szCs w:val="19"/>
        </w:rPr>
      </w:pPr>
      <w:r>
        <w:rPr>
          <w:spacing w:val="0"/>
          <w:w w:val="100"/>
          <w:position w:val="0"/>
          <w:sz w:val="19"/>
          <w:szCs w:val="19"/>
          <w:shd w:val="clear" w:color="auto" w:fill="auto"/>
          <w:lang w:val="ru-RU" w:eastAsia="ru-RU" w:bidi="ru-RU"/>
        </w:rPr>
        <w:t xml:space="preserve">д </w:t>
      </w:r>
      <w:r>
        <w:rPr>
          <w:spacing w:val="0"/>
          <w:w w:val="100"/>
          <w:position w:val="0"/>
          <w:sz w:val="19"/>
          <w:szCs w:val="19"/>
          <w:shd w:val="clear" w:color="auto" w:fill="auto"/>
          <w:lang w:val="en-US" w:eastAsia="en-US" w:bidi="en-US"/>
        </w:rPr>
        <w:t>(D</w:t>
      </w:r>
    </w:p>
    <w:p>
      <w:pPr>
        <w:widowControl w:val="0"/>
        <w:spacing w:after="0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chicago"/>
            <w:numRestart w:val="continuous"/>
            <w15:footnoteColumns w:val="1"/>
          </w:footnotePr>
          <w:type w:val="continuous"/>
          <w:pgSz w:w="12240" w:h="15840"/>
          <w:pgMar w:top="1555" w:right="187" w:bottom="280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8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both"/>
        <w:rPr>
          <w:sz w:val="19"/>
          <w:szCs w:val="19"/>
        </w:rPr>
      </w:pPr>
      <w:r>
        <w:rPr>
          <w:b/>
          <w:bCs/>
          <w:spacing w:val="0"/>
          <w:w w:val="100"/>
          <w:position w:val="0"/>
          <w:sz w:val="19"/>
          <w:szCs w:val="19"/>
          <w:shd w:val="clear" w:color="auto" w:fill="auto"/>
          <w:lang w:val="ru-RU" w:eastAsia="ru-RU" w:bidi="ru-RU"/>
        </w:rPr>
        <w:t>Литература для самоподготовки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 w:line="257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Основная: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 w:line="254" w:lineRule="auto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Военная токсикология, радиобиология и медицинская защита: Учебник / Под ред. С. А. Куценко. — СПб: Фолиант, 2004. — С. 426-447.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 w:line="254" w:lineRule="auto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Практикум по токсикологии и медицинской защите: Учебное пособие / Под ред. А. Н. Гребенюка. — СПб: Фолиант, 2010. — С. 143-157.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20" w:line="257" w:lineRule="auto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Тестовые задания по военной токсикологии, радиобиологии и медицинской защите: Учебное пособие / Под ред. С. А. Куценко. — СПб: Фолиант, 2005. — С. 142-152.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 w:line="257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Дополнительная: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 w:line="262" w:lineRule="auto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Основы медицинской радиобиологии / Под ред. И. Б. Ушакова. — СПб: Фолиант, 2004. — С. 148-186, 284-300.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 w:line="262" w:lineRule="auto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Радиобиология человека и животных: Учебное пособие / Под ред. С. П. Ярмонен- ко. — М.: Высшая школа, 2004. — С. 282-293.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 w:line="254" w:lineRule="auto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Радиационные поражения человека // Радиационная медицина / Под общ. ред. Л. А. Ильина. — М.: ИздАТ, 2001. — С. 306-327.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 w:line="262" w:lineRule="auto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Радиационные поражения человека: Избранные клинические лекции / Под ред. А. Ю. Бушманова, В. Д. Ревы. — М.: Слово, 2007. — С. 102-120.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 w:line="254" w:lineRule="auto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Клиническая радиология: Учебное пособие / Под ред. А. Е. Сосюкина. — М.: ГЭОТАР- Медиа, 2008.—С. 102-118.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 w:line="254" w:lineRule="auto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Средства профилактики и лечения лучевых поражений / М. В. Васин. — М.: РМАПО, 2006.— С. 188-219.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20" w:line="257" w:lineRule="auto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Медицинские средства профилактики и терапии радиационных поражений: Учеб</w:t>
        <w:softHyphen/>
        <w:t>ное пособие/А. Н. Гребенюк, В. И. Легеза, В. Б. Назаров, А. А. Тимошевский. — СПб: Фолиант, 2011. — С. 36-43.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28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Вопросы для самоконтроля</w:t>
      </w:r>
    </w:p>
    <w:p>
      <w:pPr>
        <w:pStyle w:val="Style34"/>
        <w:keepNext w:val="0"/>
        <w:keepLines w:val="0"/>
        <w:widowControl w:val="0"/>
        <w:numPr>
          <w:ilvl w:val="0"/>
          <w:numId w:val="89"/>
        </w:numPr>
        <w:shd w:val="clear" w:color="auto" w:fill="auto"/>
        <w:tabs>
          <w:tab w:pos="279" w:val="left"/>
        </w:tabs>
        <w:bidi w:val="0"/>
        <w:spacing w:before="0" w:after="0" w:line="228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каких ситуациях может произойти попадание радиоак</w:t>
        <w:softHyphen/>
        <w:t>тивных веществ (РВ) в организм человека?</w:t>
      </w:r>
    </w:p>
    <w:p>
      <w:pPr>
        <w:pStyle w:val="Style34"/>
        <w:keepNext w:val="0"/>
        <w:keepLines w:val="0"/>
        <w:widowControl w:val="0"/>
        <w:numPr>
          <w:ilvl w:val="0"/>
          <w:numId w:val="89"/>
        </w:numPr>
        <w:shd w:val="clear" w:color="auto" w:fill="auto"/>
        <w:tabs>
          <w:tab w:pos="289" w:val="left"/>
        </w:tabs>
        <w:bidi w:val="0"/>
        <w:spacing w:before="0" w:after="0" w:line="228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факторы представляют наибольшую опасность для че</w:t>
        <w:softHyphen/>
        <w:t>ловека, находящегося на радиоактивно-загрязненной местно</w:t>
        <w:softHyphen/>
        <w:t>сти? Почему опасность внутреннего заражения продуктами ядерного взрыва меньше, чем опасность внешнего облучения и наружного радиоактивного заражения?</w:t>
      </w:r>
    </w:p>
    <w:p>
      <w:pPr>
        <w:pStyle w:val="Style34"/>
        <w:keepNext w:val="0"/>
        <w:keepLines w:val="0"/>
        <w:widowControl w:val="0"/>
        <w:numPr>
          <w:ilvl w:val="0"/>
          <w:numId w:val="89"/>
        </w:numPr>
        <w:shd w:val="clear" w:color="auto" w:fill="auto"/>
        <w:tabs>
          <w:tab w:pos="294" w:val="left"/>
        </w:tabs>
        <w:bidi w:val="0"/>
        <w:spacing w:before="0" w:after="0" w:line="228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Почему относительная значимость внутреннего радиоактив</w:t>
        <w:softHyphen/>
        <w:t>ного заражения при загрязнении местности в результате ава</w:t>
        <w:softHyphen/>
        <w:t>рии ядерной энергетической установки выше, чем на следе облака ядерного взрыва?</w:t>
      </w:r>
    </w:p>
    <w:p>
      <w:pPr>
        <w:pStyle w:val="Style34"/>
        <w:keepNext w:val="0"/>
        <w:keepLines w:val="0"/>
        <w:widowControl w:val="0"/>
        <w:numPr>
          <w:ilvl w:val="0"/>
          <w:numId w:val="89"/>
        </w:numPr>
        <w:shd w:val="clear" w:color="auto" w:fill="auto"/>
        <w:tabs>
          <w:tab w:pos="294" w:val="left"/>
        </w:tabs>
        <w:bidi w:val="0"/>
        <w:spacing w:before="0" w:after="0" w:line="223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Каковы возможные пути поступления РВ в организм? Какими путями радионуклиды выводятся из организма?</w:t>
      </w:r>
    </w:p>
    <w:p>
      <w:pPr>
        <w:pStyle w:val="Style34"/>
        <w:keepNext w:val="0"/>
        <w:keepLines w:val="0"/>
        <w:widowControl w:val="0"/>
        <w:numPr>
          <w:ilvl w:val="0"/>
          <w:numId w:val="89"/>
        </w:numPr>
        <w:shd w:val="clear" w:color="auto" w:fill="auto"/>
        <w:tabs>
          <w:tab w:pos="289" w:val="left"/>
        </w:tabs>
        <w:bidi w:val="0"/>
        <w:spacing w:before="0" w:after="0" w:line="228" w:lineRule="auto"/>
        <w:ind w:left="260" w:right="0" w:hanging="260"/>
        <w:jc w:val="both"/>
        <w:sectPr>
          <w:headerReference w:type="default" r:id="rId344"/>
          <w:footerReference w:type="default" r:id="rId345"/>
          <w:headerReference w:type="even" r:id="rId346"/>
          <w:footerReference w:type="even" r:id="rId347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94" w:right="555" w:bottom="894" w:left="1577" w:header="466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факторы определяют дозу облучения при поступлении РВ внутрь организма?</w:t>
      </w:r>
    </w:p>
    <w:p>
      <w:pPr>
        <w:pStyle w:val="Style34"/>
        <w:keepNext w:val="0"/>
        <w:keepLines w:val="0"/>
        <w:widowControl w:val="0"/>
        <w:numPr>
          <w:ilvl w:val="0"/>
          <w:numId w:val="89"/>
        </w:numPr>
        <w:shd w:val="clear" w:color="auto" w:fill="auto"/>
        <w:tabs>
          <w:tab w:pos="289" w:val="left"/>
        </w:tabs>
        <w:bidi w:val="0"/>
        <w:spacing w:before="0" w:after="0" w:line="23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факторы оказывают наибольшее влияние на биологи</w:t>
        <w:softHyphen/>
        <w:t>ческий эффект дозы облучения, сформировавшейся в резу</w:t>
        <w:softHyphen/>
        <w:t>льтате инкорпорации РВ?</w:t>
      </w:r>
    </w:p>
    <w:p>
      <w:pPr>
        <w:pStyle w:val="Style34"/>
        <w:keepNext w:val="0"/>
        <w:keepLines w:val="0"/>
        <w:widowControl w:val="0"/>
        <w:numPr>
          <w:ilvl w:val="0"/>
          <w:numId w:val="89"/>
        </w:numPr>
        <w:shd w:val="clear" w:color="auto" w:fill="auto"/>
        <w:tabs>
          <w:tab w:pos="294" w:val="left"/>
        </w:tabs>
        <w:bidi w:val="0"/>
        <w:spacing w:before="0" w:after="0" w:line="23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 какие группы можно разделить РВ, накапливающиеся в организме человека?</w:t>
      </w:r>
    </w:p>
    <w:p>
      <w:pPr>
        <w:pStyle w:val="Style34"/>
        <w:keepNext w:val="0"/>
        <w:keepLines w:val="0"/>
        <w:widowControl w:val="0"/>
        <w:numPr>
          <w:ilvl w:val="0"/>
          <w:numId w:val="89"/>
        </w:numPr>
        <w:shd w:val="clear" w:color="auto" w:fill="auto"/>
        <w:tabs>
          <w:tab w:pos="294" w:val="left"/>
        </w:tabs>
        <w:bidi w:val="0"/>
        <w:spacing w:before="0" w:after="0" w:line="23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Дайте краткую характеристику биологического действия ра</w:t>
        <w:softHyphen/>
        <w:t>диоактивного йода, цезия, стронция, плутония и полония.</w:t>
      </w:r>
    </w:p>
    <w:p>
      <w:pPr>
        <w:pStyle w:val="Style34"/>
        <w:keepNext w:val="0"/>
        <w:keepLines w:val="0"/>
        <w:widowControl w:val="0"/>
        <w:numPr>
          <w:ilvl w:val="0"/>
          <w:numId w:val="89"/>
        </w:numPr>
        <w:shd w:val="clear" w:color="auto" w:fill="auto"/>
        <w:tabs>
          <w:tab w:pos="294" w:val="left"/>
        </w:tabs>
        <w:bidi w:val="0"/>
        <w:spacing w:before="0" w:after="0" w:line="23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Каковы особенности лучевого поражения при поступлении в организм человека продуктов ядерного деления (продуктов ядерного взрыва)? Каковы возможные отдаленные последст</w:t>
        <w:softHyphen/>
        <w:t>вия внутреннего радиоактивного заражения?</w:t>
      </w:r>
    </w:p>
    <w:p>
      <w:pPr>
        <w:pStyle w:val="Style34"/>
        <w:keepNext w:val="0"/>
        <w:keepLines w:val="0"/>
        <w:widowControl w:val="0"/>
        <w:numPr>
          <w:ilvl w:val="0"/>
          <w:numId w:val="89"/>
        </w:numPr>
        <w:shd w:val="clear" w:color="auto" w:fill="auto"/>
        <w:tabs>
          <w:tab w:pos="385" w:val="left"/>
        </w:tabs>
        <w:bidi w:val="0"/>
        <w:spacing w:before="0" w:after="0" w:line="23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меры следует предпринять для предупреждения внут</w:t>
        <w:softHyphen/>
        <w:t>реннего заражения продуктами ядерного деления (продукта</w:t>
        <w:softHyphen/>
        <w:t>ми ядерного взрыва)?</w:t>
      </w:r>
    </w:p>
    <w:p>
      <w:pPr>
        <w:pStyle w:val="Style34"/>
        <w:keepNext w:val="0"/>
        <w:keepLines w:val="0"/>
        <w:widowControl w:val="0"/>
        <w:numPr>
          <w:ilvl w:val="0"/>
          <w:numId w:val="89"/>
        </w:numPr>
        <w:shd w:val="clear" w:color="auto" w:fill="auto"/>
        <w:tabs>
          <w:tab w:pos="385" w:val="left"/>
        </w:tabs>
        <w:bidi w:val="0"/>
        <w:spacing w:before="0" w:after="0" w:line="23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лечебные мероприятия следует провести при поступ</w:t>
        <w:softHyphen/>
        <w:t>лении РВ в органы желудочно-кишечного тракта?</w:t>
      </w:r>
    </w:p>
    <w:p>
      <w:pPr>
        <w:pStyle w:val="Style34"/>
        <w:keepNext w:val="0"/>
        <w:keepLines w:val="0"/>
        <w:widowControl w:val="0"/>
        <w:numPr>
          <w:ilvl w:val="0"/>
          <w:numId w:val="89"/>
        </w:numPr>
        <w:shd w:val="clear" w:color="auto" w:fill="auto"/>
        <w:tabs>
          <w:tab w:pos="385" w:val="left"/>
        </w:tabs>
        <w:bidi w:val="0"/>
        <w:spacing w:before="0" w:after="0" w:line="23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фармакологические средства можно использовать для предупреждения накопления в щитовидной железе радиоак</w:t>
        <w:softHyphen/>
        <w:t>тивного йода? Каковы дозировка и порядок применения этих препаратов?</w:t>
      </w:r>
    </w:p>
    <w:p>
      <w:pPr>
        <w:pStyle w:val="Style34"/>
        <w:keepNext w:val="0"/>
        <w:keepLines w:val="0"/>
        <w:widowControl w:val="0"/>
        <w:numPr>
          <w:ilvl w:val="0"/>
          <w:numId w:val="89"/>
        </w:numPr>
        <w:shd w:val="clear" w:color="auto" w:fill="auto"/>
        <w:tabs>
          <w:tab w:pos="385" w:val="left"/>
        </w:tabs>
        <w:bidi w:val="0"/>
        <w:spacing w:before="0" w:after="0" w:line="230" w:lineRule="auto"/>
        <w:ind w:left="340" w:right="0" w:hanging="340"/>
        <w:jc w:val="both"/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С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помощью каких препаратов можно снизить степень инкор</w:t>
        <w:softHyphen/>
        <w:t>порации радиоактивного цезия?</w:t>
      </w:r>
    </w:p>
    <w:p>
      <w:pPr>
        <w:pStyle w:val="Style34"/>
        <w:keepNext w:val="0"/>
        <w:keepLines w:val="0"/>
        <w:widowControl w:val="0"/>
        <w:numPr>
          <w:ilvl w:val="0"/>
          <w:numId w:val="89"/>
        </w:numPr>
        <w:shd w:val="clear" w:color="auto" w:fill="auto"/>
        <w:tabs>
          <w:tab w:pos="385" w:val="left"/>
        </w:tabs>
        <w:bidi w:val="0"/>
        <w:spacing w:before="0" w:after="0" w:line="23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препараты применяются для предупреждения всасы</w:t>
        <w:softHyphen/>
        <w:t>вания из желудочно-кишечного тракта радиоактивных изо</w:t>
        <w:softHyphen/>
        <w:t>топов стронция и бария?</w:t>
      </w:r>
    </w:p>
    <w:p>
      <w:pPr>
        <w:pStyle w:val="Style34"/>
        <w:keepNext w:val="0"/>
        <w:keepLines w:val="0"/>
        <w:widowControl w:val="0"/>
        <w:numPr>
          <w:ilvl w:val="0"/>
          <w:numId w:val="89"/>
        </w:numPr>
        <w:shd w:val="clear" w:color="auto" w:fill="auto"/>
        <w:tabs>
          <w:tab w:pos="380" w:val="left"/>
        </w:tabs>
        <w:bidi w:val="0"/>
        <w:spacing w:before="0" w:after="0" w:line="230" w:lineRule="auto"/>
        <w:ind w:left="340" w:right="0" w:hanging="340"/>
        <w:jc w:val="both"/>
        <w:sectPr>
          <w:headerReference w:type="default" r:id="rId348"/>
          <w:footerReference w:type="default" r:id="rId349"/>
          <w:headerReference w:type="even" r:id="rId350"/>
          <w:footerReference w:type="even" r:id="rId351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026" w:right="1027" w:bottom="1026" w:left="1123" w:header="598" w:footer="598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 можно ускорить выведение из организма инкорпориро</w:t>
        <w:softHyphen/>
        <w:t>ванных изотопов плутония и полония?</w:t>
      </w:r>
    </w:p>
    <w:p>
      <w:pPr>
        <w:pStyle w:val="Style39"/>
        <w:keepNext/>
        <w:keepLines/>
        <w:widowControl w:val="0"/>
        <w:shd w:val="clear" w:color="auto" w:fill="auto"/>
        <w:bidi w:val="0"/>
        <w:spacing w:before="0" w:after="480" w:line="468" w:lineRule="auto"/>
        <w:ind w:left="0" w:right="0" w:firstLine="0"/>
        <w:jc w:val="center"/>
      </w:pPr>
      <w:bookmarkStart w:id="79" w:name="bookmark79"/>
      <w:bookmarkStart w:id="80" w:name="bookmark80"/>
      <w:r>
        <w:rPr>
          <w:spacing w:val="0"/>
          <w:w w:val="100"/>
          <w:position w:val="0"/>
          <w:sz w:val="24"/>
          <w:szCs w:val="24"/>
          <w:shd w:val="clear" w:color="auto" w:fill="auto"/>
          <w:lang w:val="ru-RU" w:eastAsia="ru-RU" w:bidi="ru-RU"/>
        </w:rPr>
        <w:t>Глава 5</w:t>
        <w:br/>
        <w:t>МЕСТНЫЕ ЛУЧЕВЫЕ ПОРАЖЕНИЯ</w:t>
      </w:r>
      <w:bookmarkEnd w:id="80"/>
      <w:bookmarkEnd w:id="79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00" w:line="228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Учебные вопросы</w:t>
      </w:r>
    </w:p>
    <w:p>
      <w:pPr>
        <w:pStyle w:val="Style34"/>
        <w:keepNext w:val="0"/>
        <w:keepLines w:val="0"/>
        <w:widowControl w:val="0"/>
        <w:numPr>
          <w:ilvl w:val="0"/>
          <w:numId w:val="91"/>
        </w:numPr>
        <w:shd w:val="clear" w:color="auto" w:fill="auto"/>
        <w:tabs>
          <w:tab w:pos="279" w:val="left"/>
        </w:tabs>
        <w:bidi w:val="0"/>
        <w:spacing w:before="0" w:after="0" w:line="228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Местные лучевые поражения кожи и слизистых оболочек. Об</w:t>
        <w:softHyphen/>
        <w:t>щая характеристика. Классификация местных лучевых пора</w:t>
        <w:softHyphen/>
        <w:t>жений.</w:t>
      </w:r>
    </w:p>
    <w:p>
      <w:pPr>
        <w:pStyle w:val="Style34"/>
        <w:keepNext w:val="0"/>
        <w:keepLines w:val="0"/>
        <w:widowControl w:val="0"/>
        <w:numPr>
          <w:ilvl w:val="0"/>
          <w:numId w:val="91"/>
        </w:numPr>
        <w:shd w:val="clear" w:color="auto" w:fill="auto"/>
        <w:tabs>
          <w:tab w:pos="294" w:val="left"/>
        </w:tabs>
        <w:bidi w:val="0"/>
        <w:spacing w:before="0" w:after="0" w:line="228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Местные лучевые поражения кожи от внешнего облучения. Зависимость степени тяжести лучевого поражения кожи от дозы внешнего у-излучения.</w:t>
      </w:r>
    </w:p>
    <w:p>
      <w:pPr>
        <w:pStyle w:val="Style34"/>
        <w:keepNext w:val="0"/>
        <w:keepLines w:val="0"/>
        <w:widowControl w:val="0"/>
        <w:numPr>
          <w:ilvl w:val="0"/>
          <w:numId w:val="91"/>
        </w:numPr>
        <w:shd w:val="clear" w:color="auto" w:fill="auto"/>
        <w:tabs>
          <w:tab w:pos="294" w:val="left"/>
        </w:tabs>
        <w:bidi w:val="0"/>
        <w:spacing w:before="0" w:after="0" w:line="228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Местные лучевые поражения от аппликации на кожу радиоак</w:t>
        <w:softHyphen/>
        <w:t>тивных веществ. Факторы, определяющие тяжесть поражения кожи при наружном заражении радионуклидами.</w:t>
      </w:r>
    </w:p>
    <w:p>
      <w:pPr>
        <w:pStyle w:val="Style34"/>
        <w:keepNext w:val="0"/>
        <w:keepLines w:val="0"/>
        <w:widowControl w:val="0"/>
        <w:numPr>
          <w:ilvl w:val="0"/>
          <w:numId w:val="91"/>
        </w:numPr>
        <w:shd w:val="clear" w:color="auto" w:fill="auto"/>
        <w:tabs>
          <w:tab w:pos="294" w:val="left"/>
        </w:tabs>
        <w:bidi w:val="0"/>
        <w:spacing w:before="0" w:after="0" w:line="228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Патогенез и основные клинические проявления лучевых по</w:t>
        <w:softHyphen/>
        <w:t>ражений кожи. Роль повреждения стволовых клеток эпидер</w:t>
        <w:softHyphen/>
        <w:t>миса и сосудов дермы в развитии лучевых поражений кожи.</w:t>
      </w:r>
    </w:p>
    <w:p>
      <w:pPr>
        <w:pStyle w:val="Style34"/>
        <w:keepNext w:val="0"/>
        <w:keepLines w:val="0"/>
        <w:widowControl w:val="0"/>
        <w:numPr>
          <w:ilvl w:val="0"/>
          <w:numId w:val="91"/>
        </w:numPr>
        <w:shd w:val="clear" w:color="auto" w:fill="auto"/>
        <w:tabs>
          <w:tab w:pos="289" w:val="left"/>
        </w:tabs>
        <w:bidi w:val="0"/>
        <w:spacing w:before="0" w:after="0" w:line="228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Местные лучевые поражения слизистых оболочек. Патогенез и основные клинические проявления лучевого орофарингеа</w:t>
        <w:softHyphen/>
        <w:t>льного синдрома.</w:t>
      </w:r>
    </w:p>
    <w:p>
      <w:pPr>
        <w:pStyle w:val="Style34"/>
        <w:keepNext w:val="0"/>
        <w:keepLines w:val="0"/>
        <w:widowControl w:val="0"/>
        <w:numPr>
          <w:ilvl w:val="0"/>
          <w:numId w:val="91"/>
        </w:numPr>
        <w:shd w:val="clear" w:color="auto" w:fill="auto"/>
        <w:tabs>
          <w:tab w:pos="294" w:val="left"/>
        </w:tabs>
        <w:bidi w:val="0"/>
        <w:spacing w:before="0" w:after="160" w:line="228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Принципы профилактики и лечения лучевых поражений кожи и слизистых оболочек.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00" w:line="228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Базисные знания</w:t>
      </w:r>
    </w:p>
    <w:p>
      <w:pPr>
        <w:pStyle w:val="Style34"/>
        <w:keepNext w:val="0"/>
        <w:keepLines w:val="0"/>
        <w:widowControl w:val="0"/>
        <w:numPr>
          <w:ilvl w:val="0"/>
          <w:numId w:val="93"/>
        </w:numPr>
        <w:shd w:val="clear" w:color="auto" w:fill="auto"/>
        <w:tabs>
          <w:tab w:pos="279" w:val="left"/>
        </w:tabs>
        <w:bidi w:val="0"/>
        <w:spacing w:before="0" w:after="0" w:line="233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Физические свойства и особенности биологического действия у-излучения и р-частиц.</w:t>
      </w:r>
    </w:p>
    <w:p>
      <w:pPr>
        <w:pStyle w:val="Style34"/>
        <w:keepNext w:val="0"/>
        <w:keepLines w:val="0"/>
        <w:widowControl w:val="0"/>
        <w:numPr>
          <w:ilvl w:val="0"/>
          <w:numId w:val="93"/>
        </w:numPr>
        <w:shd w:val="clear" w:color="auto" w:fill="auto"/>
        <w:tabs>
          <w:tab w:pos="294" w:val="left"/>
        </w:tabs>
        <w:bidi w:val="0"/>
        <w:spacing w:before="0" w:after="0" w:line="233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Структурно-функциональная характеристика кожных покро</w:t>
        <w:softHyphen/>
        <w:t>вов.</w:t>
      </w:r>
    </w:p>
    <w:p>
      <w:pPr>
        <w:pStyle w:val="Style34"/>
        <w:keepNext w:val="0"/>
        <w:keepLines w:val="0"/>
        <w:widowControl w:val="0"/>
        <w:numPr>
          <w:ilvl w:val="0"/>
          <w:numId w:val="93"/>
        </w:numPr>
        <w:shd w:val="clear" w:color="auto" w:fill="auto"/>
        <w:tabs>
          <w:tab w:pos="298" w:val="left"/>
        </w:tabs>
        <w:bidi w:val="0"/>
        <w:spacing w:before="0" w:after="0" w:line="230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Морфология и физиология слизистых оболочек ротоносо- глотки.</w:t>
      </w:r>
    </w:p>
    <w:p>
      <w:pPr>
        <w:pStyle w:val="Style34"/>
        <w:keepNext w:val="0"/>
        <w:keepLines w:val="0"/>
        <w:widowControl w:val="0"/>
        <w:numPr>
          <w:ilvl w:val="0"/>
          <w:numId w:val="93"/>
        </w:numPr>
        <w:shd w:val="clear" w:color="auto" w:fill="auto"/>
        <w:tabs>
          <w:tab w:pos="294" w:val="left"/>
        </w:tabs>
        <w:bidi w:val="0"/>
        <w:spacing w:before="0" w:after="100" w:line="230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Лекарственные препараты, предназначенные для лечения за</w:t>
        <w:softHyphen/>
        <w:t>болеваний кожных покровов и слизистых оболочек.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  <w:sectPr>
          <w:headerReference w:type="default" r:id="rId352"/>
          <w:footerReference w:type="default" r:id="rId353"/>
          <w:headerReference w:type="even" r:id="rId354"/>
          <w:footerReference w:type="even" r:id="rId355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82" w:right="559" w:bottom="882" w:left="1572" w:header="454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Радиационные поражения кожи и слизистых оболочек явля</w:t>
        <w:softHyphen/>
        <w:t>ются весьма распространенным видом лучевой патологии. Прак</w:t>
        <w:softHyphen/>
        <w:t>тически все радиационные инциденты XXI века сопровождались формированием у пострадавших местных лучевых поражений (МЛП) кожи и слизистых оболочек.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52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Лучевые поражения кожи и слизистых оболочек практически всегда выявляются при неравномерных и сочетанных вариантах облучения. При авариях на объектах атомной энергетики и, осо</w:t>
        <w:softHyphen/>
        <w:t>бенно, в военное время МЛП являются весьма частым видом ра</w:t>
        <w:softHyphen/>
        <w:t>диационных поражений, в значительной степени отягчающим течение острой лучевой болезни (ОЛБ). Однако они имеют и са</w:t>
        <w:softHyphen/>
        <w:t>мостоятельное клиническое значение при дальне- и короткоди</w:t>
        <w:softHyphen/>
        <w:t>станционной рентгенотерапии, дальнедистанционной у-терапии опухолей и неопухолевых заболеваний, профессиональных по</w:t>
        <w:softHyphen/>
        <w:t>ражениях у рентгенологов, поражениях при аварийных ситуаци</w:t>
        <w:softHyphen/>
        <w:t>ях и т. д.</w:t>
      </w:r>
    </w:p>
    <w:p>
      <w:pPr>
        <w:pStyle w:val="Style44"/>
        <w:keepNext/>
        <w:keepLines/>
        <w:widowControl w:val="0"/>
        <w:numPr>
          <w:ilvl w:val="1"/>
          <w:numId w:val="95"/>
        </w:numPr>
        <w:shd w:val="clear" w:color="auto" w:fill="auto"/>
        <w:tabs>
          <w:tab w:pos="433" w:val="left"/>
        </w:tabs>
        <w:bidi w:val="0"/>
        <w:spacing w:before="0" w:after="200" w:line="276" w:lineRule="auto"/>
        <w:ind w:left="0" w:right="0" w:firstLine="0"/>
        <w:jc w:val="center"/>
      </w:pPr>
      <w:bookmarkStart w:id="82" w:name="bookmark82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ПАТОГЕНЕЗ И ОСНОВНЫЕ КЛИНИЧЕСКИЕ ПРОЯВЛЕНИЯ</w:t>
        <w:br/>
        <w:t>ЛУЧЕВЫХ ПОРАЖЕНИЙ КОЖИ</w:t>
      </w:r>
      <w:bookmarkEnd w:id="82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Радиационные поражения кожи занимают одно из первых мест среди осложнений лучевой терапии у онкологических больных, составляя от 20 до 40% от всех осложнений. При этом могут по</w:t>
        <w:softHyphen/>
        <w:t>вреждаться не только кожа, но и подкожная жировая клетчатка, мышцы, кости, сосудисто-нервные пучки и внутренние органы.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Различают ранние и поздние проявления местных лучевых поражений кожи. Ранние характеризуются так называемой пер</w:t>
        <w:softHyphen/>
        <w:t>вичной эритемой (в первые несколько суток после облучения), сменяющейся после латентного периода сухим, влажным (бул</w:t>
        <w:softHyphen/>
        <w:t>лезным) или язвенно-некротическим дерматитом в зависимости от поглощенной дозы облучения. Поздние проявления развива</w:t>
        <w:softHyphen/>
        <w:t>ются спустя несколько месяцев после облучения как следствие поражения сосудов кожи и соединительной ткани. Для этих про</w:t>
        <w:softHyphen/>
        <w:t>явлений наиболее характерно нарушение трофики кожи, дермо</w:t>
        <w:softHyphen/>
        <w:t>фиброз, язвенно-некротические процессы, симптомы атрофиче</w:t>
        <w:softHyphen/>
        <w:t>ского или гипертрофического дерматита.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33" w:lineRule="auto"/>
        <w:ind w:left="0" w:right="0"/>
        <w:jc w:val="both"/>
        <w:sectPr>
          <w:headerReference w:type="default" r:id="rId356"/>
          <w:footerReference w:type="default" r:id="rId357"/>
          <w:headerReference w:type="even" r:id="rId358"/>
          <w:footerReference w:type="even" r:id="rId359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85" w:right="1000" w:bottom="821" w:left="1106" w:header="457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 соответствии с современной классификацией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>лучевые ожо</w:t>
        <w:softHyphen/>
        <w:t xml:space="preserve">ги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кожи подразделяются на 4 степени тяжести. Ожог I степени характеризуется легкой воспалительной реакцией кожи. При ожоге II степени происходит частичная гибель эпидермиса, ко</w:t>
        <w:softHyphen/>
        <w:t>торый отслаивается с образованием тонкостенных пузырей, со</w:t>
        <w:softHyphen/>
        <w:t>держащих прозрачный желтоватый экссудат. Эпителизация про</w:t>
        <w:softHyphen/>
        <w:t>исходит за счет регенерации сохранивших жизнеспособность глубоких слоев эпидермиса. При ожоге ША степени погибает не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только эпидермис, но частично и дерма. Эпителизация обеспе</w:t>
        <w:softHyphen/>
        <w:t>чивается главным образом дериватами кожи (волосяные фолли</w:t>
        <w:softHyphen/>
        <w:t>кулы, сальные и потовые железы), сохранившими жизнеспособ</w:t>
        <w:softHyphen/>
        <w:t>ность в глубоких слоях дермы. На месте заживших ожогов могут сформироваться глубокие рубцы, в том числе келоидные. Ожог ШВ степени приводит к гибели всех слоев кожи, а нередко и подкожной жировой клетчатки. Возможно самостоятельное за</w:t>
        <w:softHyphen/>
        <w:t>живление лишь небольших ожогов за счет рубцевания и краевой эпителизации. Наконец, ожог IV степени вызывает омертвение не только кожи, но и анатомических образований, расположен</w:t>
        <w:softHyphen/>
        <w:t>ных глубже собственной фасции, — мышц, сухожилий, костей, суставов. Самостоятельное заживление таких ожогов невоз</w:t>
        <w:softHyphen/>
        <w:t>можно.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Ожоги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I,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II и ША степени являются поверхностными и обычно заживают самостоятельно при консервативном лечении. Ожоги ШВ и IV степени относятся к глубоким и требуют опера</w:t>
        <w:softHyphen/>
        <w:t>тивного восстановления кожного покрова.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табл. 16 представлены данные, характеризующие основные клинические проявления лучевого поражения кожи при кратко</w:t>
        <w:softHyphen/>
        <w:t>временном у-облучении высокой мощности дозы. Как видно из этой таблицы, в клиническом течении местных лучевых пораже</w:t>
        <w:softHyphen/>
        <w:t>ний прослеживается определенная фазность, позволяющая вы</w:t>
        <w:softHyphen/>
        <w:t>делить следующие стадии поражения: первичная эритема, скры</w:t>
        <w:softHyphen/>
        <w:t>тый период, период разгара, период разрешения процесса, пери</w:t>
        <w:softHyphen/>
        <w:t>од последствий ожога.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Острый лучевой дерматит I степени тяжести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(эритематоз</w:t>
        <w:softHyphen/>
        <w:t>ный дерматит) развивается после у-облучения в дозах 8—12 Гр. Первичная эритема длится несколько часов, выражена слабо. Латентный период составляет 2-3 недели. Острый период про</w:t>
        <w:softHyphen/>
        <w:t>является развитием вторичной эритемы, имеющей темно-крас</w:t>
        <w:softHyphen/>
        <w:t>ный или розово-лиловый цвет, отеком кожи, чувством жара, зуда, болевыми ощущениями в пораженной области. Эритема проходит через 1-2 недели, шелушение и депигментация кожи сохраняются довольно продолжительное время.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  <w:sectPr>
          <w:headerReference w:type="default" r:id="rId360"/>
          <w:footerReference w:type="default" r:id="rId361"/>
          <w:headerReference w:type="even" r:id="rId362"/>
          <w:footerReference w:type="even" r:id="rId363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60" w:right="543" w:bottom="860" w:left="1589" w:header="432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Облучение в дозах 12—30 Гр вызывает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лучевой ожог II степени тяжести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(экссудативная или буллезная форма дерматита, влаж</w:t>
        <w:softHyphen/>
        <w:t>ный эпидермит). Первичная эритема сохраняется от нескольких часов до 2—3 суток, скрытый период составляет 10—15 суток. Пе</w:t>
        <w:softHyphen/>
        <w:t>риод разгара начинается с появления вторичной эритемы, отека кожи и подкожной клетчатки, чувства жжения, зуда, боли, при</w:t>
        <w:softHyphen/>
        <w:t>знаков общей интоксикации, лихорадки. В отечной коже появ-</w:t>
      </w:r>
    </w:p>
    <w:p>
      <w:pPr>
        <w:pStyle w:val="Style48"/>
        <w:keepNext w:val="0"/>
        <w:keepLines w:val="0"/>
        <w:framePr w:w="898" w:h="202" w:wrap="none" w:hAnchor="page" w:x="10470" w:y="87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Таблица 16</w:t>
      </w:r>
    </w:p>
    <w:p>
      <w:pPr>
        <w:pStyle w:val="Style21"/>
        <w:keepNext w:val="0"/>
        <w:keepLines w:val="0"/>
        <w:framePr w:w="9446" w:h="451" w:wrap="none" w:hAnchor="page" w:x="1662" w:y="1115"/>
        <w:widowControl w:val="0"/>
        <w:shd w:val="clear" w:color="auto" w:fill="auto"/>
        <w:bidi w:val="0"/>
        <w:spacing w:before="0" w:after="0" w:line="233" w:lineRule="auto"/>
        <w:ind w:left="0" w:right="0" w:firstLine="0"/>
        <w:jc w:val="center"/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>Зависимость клинических проявлений местных лучевых поражений кожи от уровней поглощенных доз</w:t>
        <w:br/>
        <w:t>кратковременного у-облу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vertAlign w:val="superscript"/>
          <w:lang w:val="ru-RU" w:eastAsia="ru-RU" w:bidi="ru-RU"/>
        </w:rPr>
        <w:t>и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ения большой мощности дозы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(по А. В. Барабановой и Н. М. Надежиной, 2001)</w:t>
      </w:r>
    </w:p>
    <w:p>
      <w:pPr>
        <w:pStyle w:val="Style8"/>
        <w:keepNext w:val="0"/>
        <w:keepLines w:val="0"/>
        <w:framePr w:w="202" w:h="552" w:hRule="exact" w:wrap="none" w:hAnchor="page" w:x="918" w:y="6515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textDirection w:val="tbRl"/>
        <w:rPr>
          <w:sz w:val="19"/>
          <w:szCs w:val="19"/>
        </w:rPr>
      </w:pPr>
      <w:r>
        <w:rPr>
          <w:spacing w:val="0"/>
          <w:w w:val="100"/>
          <w:position w:val="0"/>
          <w:sz w:val="19"/>
          <w:szCs w:val="19"/>
          <w:shd w:val="clear" w:color="auto" w:fill="auto"/>
          <w:lang w:val="ru-RU" w:eastAsia="ru-RU" w:bidi="ru-RU"/>
        </w:rPr>
        <w:t>1 55</w:t>
      </w:r>
    </w:p>
    <w:tbl>
      <w:tblPr>
        <w:tblOverlap w:val="never"/>
        <w:jc w:val="left"/>
        <w:tblLayout w:type="fixed"/>
      </w:tblPr>
      <w:tblGrid>
        <w:gridCol w:w="1622"/>
        <w:gridCol w:w="1714"/>
        <w:gridCol w:w="1877"/>
        <w:gridCol w:w="2434"/>
        <w:gridCol w:w="2323"/>
      </w:tblGrid>
      <w:tr>
        <w:trPr>
          <w:trHeight w:val="312" w:hRule="exact"/>
        </w:trPr>
        <w:tc>
          <w:tcPr>
            <w:vMerge w:val="restart"/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Фаза развития МЕСТНОЙ радиационной травмы («лучевого ожога»)</w:t>
            </w:r>
          </w:p>
        </w:tc>
        <w:tc>
          <w:tcPr>
            <w:gridSpan w:val="4"/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Степень тяжести и ориентировочная доза, Гр</w:t>
            </w:r>
          </w:p>
        </w:tc>
      </w:tr>
      <w:tr>
        <w:trPr>
          <w:trHeight w:val="715" w:hRule="exact"/>
        </w:trPr>
        <w:tc>
          <w:tcPr>
            <w:vMerge/>
            <w:tcBorders/>
            <w:shd w:val="clear" w:color="auto" w:fill="auto"/>
            <w:vAlign w:val="bottom"/>
          </w:tcPr>
          <w:p>
            <w:pPr>
              <w:framePr w:w="9970" w:h="5458" w:wrap="none" w:hAnchor="page" w:x="1403" w:y="1575"/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 (легкая) 8-12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II (средняя) 12-30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 xml:space="preserve">III 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(тяжелая) 30-50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40" w:lineRule="auto"/>
              <w:ind w:left="0" w:right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IV (крайне тяжелая)</w:t>
            </w:r>
          </w:p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72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50 и более</w:t>
            </w:r>
          </w:p>
        </w:tc>
      </w:tr>
      <w:tr>
        <w:trPr>
          <w:trHeight w:val="686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Первичная эритема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Продолжается несколько часов, может отсутствовать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62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От нескольких часов до 2-3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Выражена у всех, длится от 2 до 4-6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Выражена у всех, не ослабевает к разгару</w:t>
            </w:r>
          </w:p>
        </w:tc>
      </w:tr>
      <w:tr>
        <w:trPr>
          <w:trHeight w:val="302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Скрытый период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15-20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10-15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7-14 суток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Отсутствует</w:t>
            </w:r>
          </w:p>
        </w:tc>
      </w:tr>
      <w:tr>
        <w:trPr>
          <w:trHeight w:val="1066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Период разгара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Вторичная эритема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62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Вторичная эритема отек, пузыри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64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Вторичная эритема, отек, болевой синдром, пузыри, эрозии, первичные радиационные язвы, гнойная инфекция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Отек, болевой синдром, местные кровоизлияния, некроз</w:t>
            </w:r>
          </w:p>
        </w:tc>
      </w:tr>
      <w:tr>
        <w:trPr>
          <w:trHeight w:val="1262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7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Разрешение процесса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Сухая десквамация к 25-30-м суткам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Влажная десквамация с появлением под отторгающимся слоем нового эпителия к концу 1-2-го месяца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Развитие и заживление язв замедленно, длится месяцами. Глубокие язвы не заживают без оперативного лечения (пересадка кожи)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Гангрена с общей интоксикацией и сепсисом на 3-6-й неделе Спасти больного может лишь своевременная и радикальная операция</w:t>
            </w:r>
          </w:p>
        </w:tc>
      </w:tr>
      <w:tr>
        <w:trPr>
          <w:trHeight w:val="1114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Последствия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64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Сухость кожи, пигментные нарушения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Возможны атрофия кожи, клетчатки, мышц, образование поздних радиационных язе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Рубцы и эпителий часто несовершенны, мо&lt;ут распадаться Глубокие трофические, дегенеративные и склеротические изменения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framePr w:w="9970" w:h="5458" w:wrap="none" w:hAnchor="page" w:x="1403" w:y="1575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Ампутационные дефекгы. рецидивы язв, контрактуры</w:t>
            </w:r>
          </w:p>
        </w:tc>
      </w:tr>
    </w:tbl>
    <w:p>
      <w:pPr>
        <w:framePr w:w="9970" w:h="5458" w:wrap="none" w:hAnchor="page" w:x="1403" w:y="1575"/>
        <w:widowControl w:val="0"/>
        <w:spacing w:line="1" w:lineRule="exact"/>
      </w:pPr>
    </w:p>
    <w:p>
      <w:pPr>
        <w:widowControl w:val="0"/>
        <w:spacing w:line="360" w:lineRule="exact"/>
      </w:pPr>
      <w:r>
        <w:drawing>
          <wp:anchor distT="0" distB="164465" distL="0" distR="0" simplePos="0" relativeHeight="62915023" behindDoc="1" locked="0" layoutInCell="1" allowOverlap="1">
            <wp:simplePos x="0" y="0"/>
            <wp:positionH relativeFrom="page">
              <wp:posOffset>94615</wp:posOffset>
            </wp:positionH>
            <wp:positionV relativeFrom="margin">
              <wp:posOffset>0</wp:posOffset>
            </wp:positionV>
            <wp:extent cx="7705090" cy="518160"/>
            <wp:wrapNone/>
            <wp:docPr id="436" name="Shape 43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" name="Picture box 437"/>
                    <pic:cNvPicPr/>
                  </pic:nvPicPr>
                  <pic:blipFill>
                    <a:blip r:embed="rId364"/>
                    <a:stretch/>
                  </pic:blipFill>
                  <pic:spPr>
                    <a:xfrm>
                      <a:ext cx="7705090" cy="51816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585" w:line="1" w:lineRule="exact"/>
      </w:pPr>
    </w:p>
    <w:p>
      <w:pPr>
        <w:widowControl w:val="0"/>
        <w:spacing w:line="1" w:lineRule="exact"/>
        <w:sectPr>
          <w:headerReference w:type="default" r:id="rId366"/>
          <w:footerReference w:type="default" r:id="rId367"/>
          <w:headerReference w:type="even" r:id="rId368"/>
          <w:footerReference w:type="even" r:id="rId369"/>
          <w:footnotePr>
            <w:pos w:val="pageBottom"/>
            <w:numFmt w:val="chicago"/>
            <w:numRestart w:val="continuous"/>
            <w15:footnoteColumns w:val="1"/>
          </w:footnotePr>
          <w:pgSz w:w="12432" w:h="7694" w:orient="landscape"/>
          <w:pgMar w:top="10" w:right="154" w:bottom="10" w:left="149" w:header="0" w:footer="3" w:gutter="0"/>
          <w:cols w:space="720"/>
          <w:noEndnote/>
          <w:rtlGutter w:val="0"/>
          <w:docGrid w:linePitch="360"/>
        </w:sectPr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ляются пузыри, после вскрытия которых образуются эрозии и поверхностные язвы, заживающие в течение 2-3 недель за счет сохранившихся клеток базального слоя. Продолжительность заболевания составляет 1—2 месяца, обширные ожоги (более 20—40% площади кожи), как правило, несовместимы с жизнью.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При воздействии ионизирующих излучений в дозах 30—50 Гр развивается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местное лучевое поражение III степени тяжести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(язвенный дерматит). Первичная эритема возникает в ближай</w:t>
        <w:softHyphen/>
        <w:t>шие часы после облучения и продолжается от 3 до 6 суток, со</w:t>
        <w:softHyphen/>
        <w:t>провождается отеком кожи и подкожной клетчатки, чувством напряжения и онемения в пораженной области, признаками об</w:t>
        <w:softHyphen/>
        <w:t>щей интоксикации (слабость, анорексия, сухость во рту, тошно</w:t>
        <w:softHyphen/>
        <w:t>та, головная боль). Скрытый период короткий (1—2 недели) или вовсе отсутствует. Период разгара начинается с гиперемии, вна</w:t>
        <w:softHyphen/>
        <w:t>чале яркой, затем багрово-синюшной. Развивается отек пора</w:t>
        <w:softHyphen/>
        <w:t>женных участков кожи, образуются пузыри, затем эрозии и язвы, глубоко проникающие в подкожную клетчатку и быстро осложняющиеся гнойными процессами. Отмечается лихорадка, регионарный лимфаденит, выраженный болевой синдром. За</w:t>
        <w:softHyphen/>
        <w:t>живление затягивается на несколько месяцев, характеризуется рецидивирующим течением (вторичными изъязвлениями), тро</w:t>
        <w:softHyphen/>
        <w:t>фическими дегенеративными и склеротическими изменениями кожи.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Наконец, при облучении в дозах 50 Гр и выше возникают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лучевые ожоги крайне тяжелой (IV) степени с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явлениями некроза. Ярко выраженная первичная эритема без скрытого периода переходит в разгар заболевания, проявляющийся отеком кожи, кровоизлияниями и очагами некроза в пораженных участках, развитием выраженного болевого синдрома, быстрым присоеди</w:t>
        <w:softHyphen/>
        <w:t>нением вторичной инфекции, нарастанием общей интоксикации организма. При очень тяжелых у-поражениях кожи (50—100 Гр и выше) уже с конца 1-х суток развивается так называемая пара</w:t>
        <w:softHyphen/>
        <w:t>доксальная ишемия: кожа, подкожная жировая клетчатка, мыш</w:t>
        <w:softHyphen/>
        <w:t>цы образуют единый плотный конгломерат, обескровленная кожа становится белой. Через 3—4 суток кожа над очагом пора</w:t>
        <w:softHyphen/>
        <w:t>жения становится черной — развивается сухой коагуляционный некроз.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Во всех случаях тяжелых и крайне тяжелых местных пораже</w:t>
        <w:softHyphen/>
        <w:t>ний отмечаются сопутствующие симптомы ожоговой болезни (интоксикация, плазморея, потеря белков и электролитов, де</w:t>
        <w:softHyphen/>
        <w:t xml:space="preserve">гидратация, тромбоцитопения и анемия, эндоперибронхит и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другие инфекционные осложнения). Лихорадочно-токсический синдром часто осложняется почечно-печеночной недостаточно</w:t>
        <w:softHyphen/>
        <w:t>стью и энцефалопатической комой, приводящими к гибели, и лишь своевременная радикальная операция может спасти по</w:t>
        <w:softHyphen/>
        <w:t>страдавшего. В более благоприятных ситуациях заживление ожо</w:t>
        <w:softHyphen/>
        <w:t>га затягивается на длительный срок (более 6-8 месяцев), возни</w:t>
        <w:softHyphen/>
        <w:t>кает деформация тканей, резкая атрофия, расстройства местного кровообращения, контрактуры суставов. Атрофические и скле</w:t>
        <w:softHyphen/>
        <w:t>ротические изменения затрагивают не только кожу, но и подле</w:t>
        <w:softHyphen/>
        <w:t>жащие ткани, расстройства периферического крово- и лимфооб</w:t>
        <w:softHyphen/>
        <w:t>ращения часто приводят к индуративному отеку и образованию вторичных лучевых язв. Поздняя симптоматика включает также лучевой фиброз и (спустя 8-10 лет) образование различных опу</w:t>
        <w:softHyphen/>
        <w:t>холей.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 уже отмечалось выше, выраженность местных лучевых поражений зависит от поглощенной дозы, ее мощности, вида, энергии и качества излучения, а также от величины площади по</w:t>
        <w:softHyphen/>
        <w:t>ражения (табл. 17).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360"/>
        <w:jc w:val="both"/>
        <w:sectPr>
          <w:headerReference w:type="default" r:id="rId370"/>
          <w:footerReference w:type="default" r:id="rId371"/>
          <w:headerReference w:type="even" r:id="rId372"/>
          <w:footerReference w:type="even" r:id="rId373"/>
          <w:headerReference w:type="first" r:id="rId374"/>
          <w:footerReference w:type="first" r:id="rId375"/>
          <w:footnotePr>
            <w:pos w:val="pageBottom"/>
            <w:numFmt w:val="chicago"/>
            <w:numRestart w:val="continuous"/>
            <w15:footnoteColumns w:val="1"/>
          </w:footnotePr>
          <w:pgSz w:w="8539" w:h="12433"/>
          <w:pgMar w:top="1072" w:right="638" w:bottom="1147" w:left="159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Наиболее тяжелые лучевые ожоги вызывает жесткое рентге</w:t>
        <w:softHyphen/>
        <w:t>новское или у-излучение, а также у-нейтронное облучение, р-Излучение характеризуется существенно меньшей (в сравне</w:t>
        <w:softHyphen/>
        <w:t>нии с жестким рентгеновским, у- и у-нейтронным излучением) проникающей способностью и, соответственно, вызывает более легкие (как правило, поверхностные) местные поражения. Кро</w:t>
        <w:softHyphen/>
        <w:t xml:space="preserve">ме того,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p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-поражения кожи характеризуются весьма пестрой то</w:t>
        <w:softHyphen/>
        <w:t>пографией, обусловленной неравномерностью загрязнения по</w:t>
        <w:softHyphen/>
        <w:t>верхности тела радионуклидами. На участках кожи, где доза р-облучения составила 12—30 Гр, к концу 3-й недели возникает застойная гиперемия, сменяющаяся сухой десквамацией, нару</w:t>
        <w:softHyphen/>
        <w:t>шением пигментации. Заживление наступает спустя 1,5—2 меся</w:t>
        <w:softHyphen/>
        <w:t>ца. Дозы р-облучения свыше 30 Гр вызывают развитие первич</w:t>
        <w:softHyphen/>
        <w:t>ной эритемы, проходящей обычно через 2—3 дня. Вторичная эритема появляется, в зависимости от дозы воздействия, через 1-3 недели (чем выше доза, тем быстрее). На ее фоне вскоре раз</w:t>
        <w:softHyphen/>
        <w:t>вивается отек кожи, образуются мелкие, быстро разрушающиеся пузыри, единичные очаги язвенно-некротических изменений (на участках, где дозы р-облучения достигали 100—150 Гр). Кли</w:t>
        <w:softHyphen/>
        <w:t>нические проявления поражения сохраняются 2—3 месяца, а на</w:t>
        <w:softHyphen/>
        <w:t>рушения пигментации и слущивание эпидермиса могут наблю</w:t>
        <w:softHyphen/>
        <w:t>даться и более длительное время. На месте язв остаются мелкие рубцы, напоминающие оспенные дефекты кожи.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0"/>
        <w:jc w:val="righ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Таблица 17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  <w:rPr>
          <w:sz w:val="18"/>
          <w:szCs w:val="18"/>
        </w:rPr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>Сроки выявления основных клинических проявлений</w:t>
        <w:br/>
        <w:t>местных лучевых поражений кожи в зависимости</w:t>
        <w:br/>
        <w:t>от вида радиационного воздействия, площади поражения</w:t>
        <w:br/>
        <w:t>и величины локальной поглощенной дозы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(по Г. Д. Селидовкину и А. В. Барабановой, 2001)</w:t>
      </w:r>
    </w:p>
    <w:tbl>
      <w:tblPr>
        <w:tblOverlap w:val="never"/>
        <w:jc w:val="center"/>
        <w:tblLayout w:type="fixed"/>
      </w:tblPr>
      <w:tblGrid>
        <w:gridCol w:w="1133"/>
        <w:gridCol w:w="1138"/>
        <w:gridCol w:w="989"/>
        <w:gridCol w:w="1618"/>
        <w:gridCol w:w="1387"/>
      </w:tblGrid>
      <w:tr>
        <w:trPr>
          <w:trHeight w:val="826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Вид облучения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52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Локальная поглощенная доза, Гр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52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Латентный период, сутки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52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Клиника разгара (сроки максимальных проявлений, сутки)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Исход</w:t>
            </w:r>
          </w:p>
        </w:tc>
      </w:tr>
      <w:tr>
        <w:trPr>
          <w:trHeight w:val="658" w:hRule="exact"/>
        </w:trPr>
        <w:tc>
          <w:tcPr>
            <w:vMerge w:val="restart"/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у-Облучение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6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10-15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footnoteReference w:id="11"/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12-18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footnoteReference w:id="12"/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6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20-22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18-20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4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Эритема, сухое шелушение (36-40)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2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Восстановление в 100% случаев</w:t>
            </w:r>
          </w:p>
        </w:tc>
      </w:tr>
      <w:tr>
        <w:trPr>
          <w:trHeight w:val="648" w:hRule="exact"/>
        </w:trPr>
        <w:tc>
          <w:tcPr>
            <w:vMerge/>
            <w:tcBorders/>
            <w:shd w:val="clear" w:color="auto" w:fill="auto"/>
            <w:vAlign w:val="center"/>
          </w:tcPr>
          <w:p>
            <w:pPr/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6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15-20*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18-30”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6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18-20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15-18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1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Пузыри, влажная десквамация (30-36)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4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Восстановление с явлениями атрофии</w:t>
            </w:r>
          </w:p>
        </w:tc>
      </w:tr>
      <w:tr>
        <w:trPr>
          <w:trHeight w:val="1037" w:hRule="exact"/>
        </w:trPr>
        <w:tc>
          <w:tcPr>
            <w:vMerge/>
            <w:tcBorders/>
            <w:shd w:val="clear" w:color="auto" w:fill="auto"/>
            <w:vAlign w:val="center"/>
          </w:tcPr>
          <w:p>
            <w:pPr/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6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20-30*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30-50”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6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15-18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10-15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Эрозии, язвы, некроз (24-30)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Восстановление редко и только при малой площади поражения</w:t>
            </w:r>
          </w:p>
        </w:tc>
      </w:tr>
      <w:tr>
        <w:trPr>
          <w:trHeight w:val="461" w:hRule="exact"/>
        </w:trPr>
        <w:tc>
          <w:tcPr>
            <w:vMerge/>
            <w:tcBorders/>
            <w:shd w:val="clear" w:color="auto" w:fill="auto"/>
            <w:vAlign w:val="center"/>
          </w:tcPr>
          <w:p>
            <w:pPr/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&gt; 50</w:t>
            </w: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footnoteReference w:id="13"/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5-10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Ранний некроз (15-24)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Отсутствие восстановления</w:t>
            </w:r>
          </w:p>
        </w:tc>
      </w:tr>
      <w:tr>
        <w:trPr>
          <w:trHeight w:val="653" w:hRule="exact"/>
        </w:trPr>
        <w:tc>
          <w:tcPr>
            <w:vMerge w:val="restart"/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у-Нейтронное облучение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6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6-10*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8-12"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6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18-22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15-20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Эритема, сухая десквамация (40-44)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4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Восстановление в 70-80% случаев</w:t>
            </w:r>
          </w:p>
        </w:tc>
      </w:tr>
      <w:tr>
        <w:trPr>
          <w:trHeight w:val="653" w:hRule="exact"/>
        </w:trPr>
        <w:tc>
          <w:tcPr>
            <w:vMerge/>
            <w:tcBorders/>
            <w:shd w:val="clear" w:color="auto" w:fill="auto"/>
            <w:vAlign w:val="center"/>
          </w:tcPr>
          <w:p>
            <w:pPr/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6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10-15*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12-18"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6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15-18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10-15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Пузыри, «влажное» шелушение (32-40)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Восстановление с выраженными дефектами</w:t>
            </w:r>
          </w:p>
        </w:tc>
      </w:tr>
      <w:tr>
        <w:trPr>
          <w:trHeight w:val="514" w:hRule="exact"/>
        </w:trPr>
        <w:tc>
          <w:tcPr>
            <w:vMerge/>
            <w:tcBorders/>
            <w:shd w:val="clear" w:color="auto" w:fill="auto"/>
            <w:vAlign w:val="center"/>
          </w:tcPr>
          <w:p>
            <w:pPr/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6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15-25*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18-30"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348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10-15 7-10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Эрозии, язвы (26-32)</w:t>
            </w:r>
          </w:p>
        </w:tc>
        <w:tc>
          <w:tcPr>
            <w:vMerge w:val="restart"/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54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Восстановления нет</w:t>
            </w:r>
          </w:p>
        </w:tc>
      </w:tr>
      <w:tr>
        <w:trPr>
          <w:trHeight w:val="494" w:hRule="exact"/>
        </w:trPr>
        <w:tc>
          <w:tcPr>
            <w:vMerge/>
            <w:tcBorders>
              <w:bottom w:val="single" w:sz="4"/>
            </w:tcBorders>
            <w:shd w:val="clear" w:color="auto" w:fill="auto"/>
            <w:vAlign w:val="center"/>
          </w:tcPr>
          <w:p>
            <w:pPr/>
          </w:p>
        </w:tc>
        <w:tc>
          <w:tcPr>
            <w:tcBorders>
              <w:top w:val="single" w:sz="4"/>
              <w:left w:val="single" w:sz="4"/>
              <w:bottom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80"/>
              <w:jc w:val="both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&gt; 30***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5-7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Ранний некроз (ранее 8)</w:t>
            </w:r>
          </w:p>
        </w:tc>
        <w:tc>
          <w:tcPr>
            <w:vMerge/>
            <w:tcBorders>
              <w:left w:val="single" w:sz="4"/>
            </w:tcBorders>
            <w:shd w:val="clear" w:color="auto" w:fill="auto"/>
            <w:vAlign w:val="center"/>
          </w:tcPr>
          <w:p>
            <w:pPr/>
          </w:p>
        </w:tc>
      </w:tr>
    </w:tbl>
    <w:p>
      <w:pPr>
        <w:sectPr>
          <w:headerReference w:type="default" r:id="rId376"/>
          <w:footerReference w:type="default" r:id="rId377"/>
          <w:headerReference w:type="even" r:id="rId378"/>
          <w:footerReference w:type="even" r:id="rId379"/>
          <w:footnotePr>
            <w:pos w:val="pageBottom"/>
            <w:numFmt w:val="chicago"/>
            <w:numRestart w:val="continuous"/>
            <w15:footnoteColumns w:val="1"/>
          </w:footnotePr>
          <w:pgSz w:w="8539" w:h="12433"/>
          <w:pgMar w:top="1072" w:right="638" w:bottom="1147" w:left="1590" w:header="644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1" w:lineRule="exact"/>
      </w:pPr>
      <w:r>
        <mc:AlternateContent>
          <mc:Choice Requires="wps">
            <w:drawing>
              <wp:anchor distT="737870" distB="0" distL="114300" distR="114300" simplePos="0" relativeHeight="125829431" behindDoc="0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2356485</wp:posOffset>
                </wp:positionV>
                <wp:extent cx="3989705" cy="2825750"/>
                <wp:wrapTopAndBottom/>
                <wp:docPr id="448" name="Shape 448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3989705" cy="2825750"/>
                        </a:xfrm>
                        <a:prstGeom prst="rect"/>
                        <a:noFill/>
                      </wps:spPr>
                      <wps:txbx>
                        <w:txbxContent>
                          <w:tbl>
                            <w:tblPr>
                              <w:tblOverlap w:val="never"/>
                              <w:jc w:val="left"/>
                              <w:tblLayout w:type="fixed"/>
                            </w:tblPr>
                            <w:tblGrid>
                              <w:gridCol w:w="1483"/>
                              <w:gridCol w:w="739"/>
                              <w:gridCol w:w="950"/>
                              <w:gridCol w:w="1906"/>
                              <w:gridCol w:w="1205"/>
                            </w:tblGrid>
                            <w:tr>
                              <w:trPr>
                                <w:tblHeader/>
                                <w:trHeight w:val="456" w:hRule="exact"/>
                              </w:trPr>
                              <w:tc>
                                <w:tcPr>
                                  <w:vMerge w:val="restart"/>
                                  <w:tcBorders>
                                    <w:top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Степень тяжести лучевого дерматита</w:t>
                                  </w:r>
                                </w:p>
                              </w:tc>
                              <w:tc>
                                <w:tcPr>
                                  <w:gridSpan w:val="2"/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bottom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54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Латентный период, сутки</w:t>
                                  </w:r>
                                </w:p>
                              </w:tc>
                              <w:tc>
                                <w:tcPr>
                                  <w:vMerge w:val="restart"/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Исходы острого периода</w:t>
                                  </w:r>
                                </w:p>
                              </w:tc>
                              <w:tc>
                                <w:tcPr>
                                  <w:vMerge w:val="restart"/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Отдаленные последствия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437" w:hRule="exact"/>
                              </w:trPr>
                              <w:tc>
                                <w:tcPr>
                                  <w:vMerge/>
                                  <w:tcBorders/>
                                  <w:shd w:val="clear" w:color="auto" w:fill="auto"/>
                                  <w:vAlign w:val="center"/>
                                </w:tcPr>
                                <w:p>
                                  <w:pPr/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начало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54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продолжи</w:t>
                                    <w:softHyphen/>
                                    <w:t>тельность</w:t>
                                  </w:r>
                                </w:p>
                              </w:tc>
                              <w:tc>
                                <w:tcPr>
                                  <w:vMerge/>
                                  <w:tcBorders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/>
                                </w:p>
                              </w:tc>
                              <w:tc>
                                <w:tcPr>
                                  <w:vMerge/>
                                  <w:tcBorders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/>
                                </w:p>
                              </w:tc>
                            </w:tr>
                            <w:tr>
                              <w:trPr>
                                <w:trHeight w:val="638" w:hRule="exact"/>
                              </w:trPr>
                              <w:tc>
                                <w:tcPr>
                                  <w:tcBorders>
                                    <w:top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40" w:line="240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I</w:t>
                                  </w:r>
                                </w:p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(легкая)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12-34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20-24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top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66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Эпителизация — 80%; очаговая атрофия — 20%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42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Нет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835" w:hRule="exact"/>
                              </w:trPr>
                              <w:tc>
                                <w:tcPr>
                                  <w:tcBorders>
                                    <w:top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II</w:t>
                                  </w:r>
                                </w:p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(средняя)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6-18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10-15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top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66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Атрофия — 80%; телеангиэктазии и нарушения пигментации — 20%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64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Поздние лучевые язвы — 10%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1406" w:hRule="exact"/>
                              </w:trPr>
                              <w:tc>
                                <w:tcPr>
                                  <w:tcBorders>
                                    <w:top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en-US" w:eastAsia="en-US" w:bidi="en-US"/>
                                    </w:rPr>
                                    <w:t>III</w:t>
                                  </w:r>
                                </w:p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(тяжелая)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0-12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5-7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top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66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Рубцово-атрофические изменения, телеангиэктазии, нарушения пигментации — 100%; первичное заживление — 60%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66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Поздние лучевые язвы — 80%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677" w:hRule="exact"/>
                              </w:trPr>
                              <w:tc>
                                <w:tcPr>
                                  <w:tcBorders>
                                    <w:top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IV</w:t>
                                  </w:r>
                                </w:p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lef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(крайне тяжелая)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0-1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40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0-1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66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Первичное заживление отсутствует</w:t>
                                  </w:r>
                                </w:p>
                              </w:tc>
                              <w:tc>
                                <w:tcPr>
                                  <w:tcBorders>
                                    <w:top w:val="single" w:sz="4"/>
                                    <w:left w:val="single" w:sz="4"/>
                                  </w:tcBorders>
                                  <w:shd w:val="clear" w:color="auto" w:fill="auto"/>
                                  <w:vAlign w:val="top"/>
                                </w:tcPr>
                                <w:p>
                                  <w:pPr>
                                    <w:pStyle w:val="Style57"/>
                                    <w:keepNext w:val="0"/>
                                    <w:keepLines w:val="0"/>
                                    <w:widowControl w:val="0"/>
                                    <w:shd w:val="clear" w:color="auto" w:fill="auto"/>
                                    <w:bidi w:val="0"/>
                                    <w:spacing w:before="0" w:after="0" w:line="266" w:lineRule="auto"/>
                                    <w:ind w:left="0" w:right="0"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0"/>
                                      <w:w w:val="100"/>
                                      <w:position w:val="0"/>
                                      <w:sz w:val="15"/>
                                      <w:szCs w:val="15"/>
                                      <w:shd w:val="clear" w:color="auto" w:fill="auto"/>
                                      <w:lang w:val="ru-RU" w:eastAsia="ru-RU" w:bidi="ru-RU"/>
                                    </w:rPr>
                                    <w:t>Поздние лучевые язвы —100%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widowControl w:val="0"/>
                              <w:spacing w:line="1" w:lineRule="exact"/>
                            </w:pP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74" type="#_x0000_t202" style="position:absolute;margin-left:62.399999999999999pt;margin-top:185.55000000000001pt;width:314.15000000000003pt;height:222.5pt;z-index:-125829322;mso-wrap-distance-left:9.pt;mso-wrap-distance-top:58.100000000000001pt;mso-wrap-distance-right:9.pt;mso-position-horizontal-relative:page" filled="f" stroked="f">
                <v:textbox inset="0,0,0,0">
                  <w:txbxContent>
                    <w:tbl>
                      <w:tblPr>
                        <w:tblOverlap w:val="never"/>
                        <w:jc w:val="left"/>
                        <w:tblLayout w:type="fixed"/>
                      </w:tblPr>
                      <w:tblGrid>
                        <w:gridCol w:w="1483"/>
                        <w:gridCol w:w="739"/>
                        <w:gridCol w:w="950"/>
                        <w:gridCol w:w="1906"/>
                        <w:gridCol w:w="1205"/>
                      </w:tblGrid>
                      <w:tr>
                        <w:trPr>
                          <w:tblHeader/>
                          <w:trHeight w:val="456" w:hRule="exact"/>
                        </w:trPr>
                        <w:tc>
                          <w:tcPr>
                            <w:vMerge w:val="restart"/>
                            <w:tcBorders>
                              <w:top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Степень тяжести лучевого дерматита</w:t>
                            </w:r>
                          </w:p>
                        </w:tc>
                        <w:tc>
                          <w:tcPr>
                            <w:gridSpan w:val="2"/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bottom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54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Латентный период, сутки</w:t>
                            </w:r>
                          </w:p>
                        </w:tc>
                        <w:tc>
                          <w:tcPr>
                            <w:vMerge w:val="restart"/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Исходы острого периода</w:t>
                            </w:r>
                          </w:p>
                        </w:tc>
                        <w:tc>
                          <w:tcPr>
                            <w:vMerge w:val="restart"/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Отдаленные последствия</w:t>
                            </w:r>
                          </w:p>
                        </w:tc>
                      </w:tr>
                      <w:tr>
                        <w:trPr>
                          <w:trHeight w:val="437" w:hRule="exact"/>
                        </w:trPr>
                        <w:tc>
                          <w:tcPr>
                            <w:vMerge/>
                            <w:tcBorders/>
                            <w:shd w:val="clear" w:color="auto" w:fill="auto"/>
                            <w:vAlign w:val="center"/>
                          </w:tcPr>
                          <w:p>
                            <w:pPr/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начало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54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продолжи</w:t>
                              <w:softHyphen/>
                              <w:t>тельность</w:t>
                            </w:r>
                          </w:p>
                        </w:tc>
                        <w:tc>
                          <w:tcPr>
                            <w:vMerge/>
                            <w:tcBorders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/>
                          </w:p>
                        </w:tc>
                        <w:tc>
                          <w:tcPr>
                            <w:vMerge/>
                            <w:tcBorders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/>
                          </w:p>
                        </w:tc>
                      </w:tr>
                      <w:tr>
                        <w:trPr>
                          <w:trHeight w:val="638" w:hRule="exact"/>
                        </w:trPr>
                        <w:tc>
                          <w:tcPr>
                            <w:tcBorders>
                              <w:top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40" w:line="240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I</w:t>
                            </w:r>
                          </w:p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(легкая)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12-34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20-24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top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6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Эпителизация — 80%; очаговая атрофия — 20%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42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Нет</w:t>
                            </w:r>
                          </w:p>
                        </w:tc>
                      </w:tr>
                      <w:tr>
                        <w:trPr>
                          <w:trHeight w:val="835" w:hRule="exact"/>
                        </w:trPr>
                        <w:tc>
                          <w:tcPr>
                            <w:tcBorders>
                              <w:top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II</w:t>
                            </w:r>
                          </w:p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(средняя)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6-18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10-15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top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6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Атрофия — 80%; телеангиэктазии и нарушения пигментации — 20%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4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Поздние лучевые язвы — 10%</w:t>
                            </w:r>
                          </w:p>
                        </w:tc>
                      </w:tr>
                      <w:tr>
                        <w:trPr>
                          <w:trHeight w:val="1406" w:hRule="exact"/>
                        </w:trPr>
                        <w:tc>
                          <w:tcPr>
                            <w:tcBorders>
                              <w:top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en-US" w:eastAsia="en-US" w:bidi="en-US"/>
                              </w:rPr>
                              <w:t>III</w:t>
                            </w:r>
                          </w:p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(тяжелая)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0-12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5-7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top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6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Рубцово-атрофические изменения, телеангиэктазии, нарушения пигментации — 100%; первичное заживление — 60%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6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Поздние лучевые язвы — 80%</w:t>
                            </w:r>
                          </w:p>
                        </w:tc>
                      </w:tr>
                      <w:tr>
                        <w:trPr>
                          <w:trHeight w:val="677" w:hRule="exact"/>
                        </w:trPr>
                        <w:tc>
                          <w:tcPr>
                            <w:tcBorders>
                              <w:top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IV</w:t>
                            </w:r>
                          </w:p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(крайне тяжелая)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0-1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0-1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6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Первичное заживление отсутствует</w:t>
                            </w:r>
                          </w:p>
                        </w:tc>
                        <w:tc>
                          <w:tcPr>
                            <w:tcBorders>
                              <w:top w:val="single" w:sz="4"/>
                              <w:left w:val="single" w:sz="4"/>
                            </w:tcBorders>
                            <w:shd w:val="clear" w:color="auto" w:fill="auto"/>
                            <w:vAlign w:val="top"/>
                          </w:tcPr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6" w:lineRule="auto"/>
                              <w:ind w:left="0" w:right="0"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Поздние лучевые язвы —100%</w:t>
                            </w:r>
                          </w:p>
                        </w:tc>
                      </w:tr>
                    </w:tbl>
                    <w:p>
                      <w:pPr>
                        <w:widowControl w:val="0"/>
                        <w:spacing w:line="1" w:lineRule="exact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503316488" behindDoc="0" locked="0" layoutInCell="1" allowOverlap="1">
                <wp:simplePos x="0" y="0"/>
                <wp:positionH relativeFrom="page">
                  <wp:posOffset>1121410</wp:posOffset>
                </wp:positionH>
                <wp:positionV relativeFrom="paragraph">
                  <wp:posOffset>1618615</wp:posOffset>
                </wp:positionV>
                <wp:extent cx="3648710" cy="106680"/>
                <wp:wrapNone/>
                <wp:docPr id="450" name="Shape 450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3648710" cy="10668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7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righ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b w:val="0"/>
                                <w:bCs w:val="0"/>
                                <w:i/>
                                <w:iCs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ru-RU" w:eastAsia="ru-RU" w:bidi="ru-RU"/>
                              </w:rPr>
                              <w:t>Таблица 18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76" type="#_x0000_t202" style="position:absolute;margin-left:88.299999999999997pt;margin-top:127.45pt;width:287.30000000000001pt;height:8.4000000000000004pt;z-index:251657735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7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  <w:rPr>
                          <w:sz w:val="15"/>
                          <w:szCs w:val="15"/>
                        </w:rPr>
                      </w:pPr>
                      <w:r>
                        <w:rPr>
                          <w:b w:val="0"/>
                          <w:bCs w:val="0"/>
                          <w:i/>
                          <w:iCs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auto"/>
                          <w:lang w:val="ru-RU" w:eastAsia="ru-RU" w:bidi="ru-RU"/>
                        </w:rPr>
                        <w:t>Таблица 18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503316490" behindDoc="0" locked="0" layoutInCell="1" allowOverlap="1">
                <wp:simplePos x="0" y="0"/>
                <wp:positionH relativeFrom="page">
                  <wp:posOffset>1121410</wp:posOffset>
                </wp:positionH>
                <wp:positionV relativeFrom="paragraph">
                  <wp:posOffset>1795780</wp:posOffset>
                </wp:positionV>
                <wp:extent cx="3648710" cy="521335"/>
                <wp:wrapNone/>
                <wp:docPr id="452" name="Shape 452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3648710" cy="52133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7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Исходы и последствия местных 0-, у-лучевых поражений у лиц, пострадавших при ликвидации последствий аварии на Чернобыльской АЭС</w:t>
                            </w:r>
                          </w:p>
                          <w:p>
                            <w:pPr>
                              <w:pStyle w:val="Style7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580"/>
                              <w:jc w:val="left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auto"/>
                                <w:lang w:val="ru-RU" w:eastAsia="ru-RU" w:bidi="ru-RU"/>
                              </w:rPr>
                              <w:t>(по А. В. Барабановой и Н. М. Надежиной, 2001)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78" type="#_x0000_t202" style="position:absolute;margin-left:88.299999999999997pt;margin-top:141.40000000000001pt;width:287.30000000000001pt;height:41.050000000000004pt;z-index:251657737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7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Исходы и последствия местных 0-, у-лучевых поражений у лиц, пострадавших при ликвидации последствий аварии на Чернобыльской АЭС</w:t>
                      </w:r>
                    </w:p>
                    <w:p>
                      <w:pPr>
                        <w:pStyle w:val="Style7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580"/>
                        <w:jc w:val="left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auto"/>
                          <w:lang w:val="ru-RU" w:eastAsia="ru-RU" w:bidi="ru-RU"/>
                        </w:rPr>
                        <w:t>(по А. В. Барабановой и Н. М. Надежиной, 2001)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 w:firstLine="0"/>
        <w:jc w:val="both"/>
      </w:pPr>
      <w:r>
        <w:drawing>
          <wp:anchor distT="0" distB="0" distL="0" distR="0" simplePos="0" relativeHeight="125829433" behindDoc="0" locked="0" layoutInCell="1" allowOverlap="1">
            <wp:simplePos x="0" y="0"/>
            <wp:positionH relativeFrom="page">
              <wp:posOffset>295910</wp:posOffset>
            </wp:positionH>
            <wp:positionV relativeFrom="margin">
              <wp:posOffset>0</wp:posOffset>
            </wp:positionV>
            <wp:extent cx="560705" cy="7741920"/>
            <wp:wrapTight wrapText="bothSides">
              <wp:wrapPolygon>
                <wp:start x="0" y="0"/>
                <wp:lineTo x="21600" y="0"/>
                <wp:lineTo x="21600" y="136"/>
                <wp:lineTo x="19475" y="136"/>
                <wp:lineTo x="19475" y="468"/>
                <wp:lineTo x="12630" y="468"/>
                <wp:lineTo x="12630" y="21600"/>
                <wp:lineTo x="0" y="21600"/>
                <wp:lineTo x="0" y="0"/>
              </wp:wrapPolygon>
            </wp:wrapTight>
            <wp:docPr id="454" name="Shape 45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" name="Picture box 455"/>
                    <pic:cNvPicPr/>
                  </pic:nvPicPr>
                  <pic:blipFill>
                    <a:blip r:embed="rId380"/>
                    <a:stretch/>
                  </pic:blipFill>
                  <pic:spPr>
                    <a:xfrm>
                      <a:ext cx="560705" cy="774192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доз отмечалась влажная десквамация. Эти проявления требовали соответствующего лечения, особенно при локализации ожогов на лице и в областях кожных складок.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60" w:line="233" w:lineRule="auto"/>
        <w:ind w:left="0" w:right="0" w:firstLine="2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Данные о непосредственных исходах и отдаленных последст</w:t>
        <w:softHyphen/>
        <w:t>виях местных 0-, у-лучевых поражений у участников ликвидации последствий аварии на ЧАЭС представлены в табл. 18.</w:t>
      </w:r>
    </w:p>
    <w:p>
      <w:pPr>
        <w:pStyle w:val="Style44"/>
        <w:keepNext/>
        <w:keepLines/>
        <w:widowControl w:val="0"/>
        <w:numPr>
          <w:ilvl w:val="1"/>
          <w:numId w:val="95"/>
        </w:numPr>
        <w:shd w:val="clear" w:color="auto" w:fill="auto"/>
        <w:tabs>
          <w:tab w:pos="433" w:val="left"/>
        </w:tabs>
        <w:bidi w:val="0"/>
        <w:spacing w:before="460" w:after="200" w:line="276" w:lineRule="auto"/>
        <w:ind w:left="0" w:right="0" w:firstLine="0"/>
        <w:jc w:val="center"/>
      </w:pPr>
      <w:bookmarkStart w:id="84" w:name="bookmark84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ПАТОГЕНЕЗ И ОСНОВНЫЕ КЛИНИЧЕСКИЕ ПРОЯВЛЕНИЯ</w:t>
        <w:br/>
        <w:t>ЛУЧЕВОГО ОРОФАРИНГЕАЛЬНОГО СИНДРОМА</w:t>
      </w:r>
      <w:bookmarkEnd w:id="84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28" w:lineRule="auto"/>
        <w:ind w:left="0" w:right="0" w:firstLine="0"/>
        <w:jc w:val="both"/>
        <w:sectPr>
          <w:headerReference w:type="default" r:id="rId382"/>
          <w:footerReference w:type="default" r:id="rId383"/>
          <w:headerReference w:type="even" r:id="rId384"/>
          <w:footerReference w:type="even" r:id="rId385"/>
          <w:footnotePr>
            <w:pos w:val="pageBottom"/>
            <w:numFmt w:val="chicago"/>
            <w:numRestart w:val="continuous"/>
            <w15:footnoteColumns w:val="1"/>
          </w:footnotePr>
          <w:pgSz w:w="8539" w:h="12433"/>
          <w:pgMar w:top="147" w:right="998" w:bottom="912" w:left="123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Одновременно с лучевыми реакциями кожи могут наблюдаться и радиационные поражения слизистых оболочек (мукозиты, лу</w:t>
        <w:softHyphen/>
        <w:t>чевые эпителииты). Наибольшей радиочувствительностью отли</w:t>
        <w:softHyphen/>
        <w:t>чаются неороговевающий эпителий мягкого неба и небных ду</w:t>
        <w:softHyphen/>
        <w:t xml:space="preserve">жек. Лучевой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орофарингеальный синдром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проявляется в виде ги</w:t>
        <w:softHyphen/>
        <w:t>перемии, отека, очагового и сливного эпителиита, нарушений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слюноотделения (ксеростомия), болей при глотании и прохож</w:t>
        <w:softHyphen/>
        <w:t>дении пищи по пищеводу. При облучении гортани развиваются явления ларингита.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Сосудистая реакция слизистых оболочек в виде покрасне</w:t>
        <w:softHyphen/>
        <w:t>ния, отека, опалесценции, появления отпечатков зубов отмеча</w:t>
        <w:softHyphen/>
        <w:t>ется спустя 4—8 ч после облучения в зависимости от его дозы (пороговой для развития этой фазы орофарингеального синдрома считается доза свыше 5—7 Гр). При облучении в более высоких дозах (порядка 10 Гр и выше) после латентного периода развива</w:t>
        <w:softHyphen/>
        <w:t>ются поражения слизистых оболочек ротоносоглотки различной степени тяжести.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Период разгара при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орофарингеальном синдроме I степени тя</w:t>
        <w:softHyphen/>
        <w:t>жести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наступает спустя 2 недели после облучения и проявляется в виде застойной гиперемии с синевато-синюшным оттенком, отечности и мелких единичных эрозий на слизистой оболочке мягкого неба и небных дужек. Процесс завершается нормализа</w:t>
        <w:softHyphen/>
        <w:t>цией состояния слизистых оболочек в течение 2 недель.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Проявления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орофарингеального синдрома II степени тяжести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возникают через 1—2 недели, когда появляются многочислен</w:t>
        <w:softHyphen/>
        <w:t>ные, иногда с геморрагиями эрозии слизистой оболочки щек, мягкого неба, подъязычной области, осложняющиеся, как пра</w:t>
        <w:softHyphen/>
        <w:t>вило, вторичной инфекцией и регионарным лимфаденитом. Длительность процесса около 3 недель, завершается он полным восстановлением слизистых оболочек, хотя эрозии могут возни</w:t>
        <w:softHyphen/>
        <w:t>кать и повторно с последующей полной репарацией.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При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орофарингеальном синдроме III степени тяжести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латент</w:t>
        <w:softHyphen/>
        <w:t>ный период составляет около 1 недели. На всех участках слизи</w:t>
        <w:softHyphen/>
        <w:t>стой оболочки полости рта возникают довольно крупные мно</w:t>
        <w:softHyphen/>
        <w:t>жественные язвы и эрозии, покрытые некротическим налетом. Весьма выражен болевой синдром. Эрозивно-язвенный процесс имеет рецидивирующий характер и, как правило, осложняется бактериально-грибковой и вирусной (чаще всего герпетической) инфекцией. Длительность его более 1 месяца. После регенера</w:t>
        <w:softHyphen/>
        <w:t>ции слизистых оболочек на местах бывших глубоких язв остают</w:t>
        <w:softHyphen/>
        <w:t>ся рубцы.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  <w:sectPr>
          <w:headerReference w:type="default" r:id="rId386"/>
          <w:footerReference w:type="default" r:id="rId387"/>
          <w:headerReference w:type="even" r:id="rId388"/>
          <w:footerReference w:type="even" r:id="rId389"/>
          <w:footnotePr>
            <w:pos w:val="pageBottom"/>
            <w:numFmt w:val="chicago"/>
            <w:numRestart w:val="continuous"/>
            <w15:footnoteColumns w:val="1"/>
          </w:footnotePr>
          <w:pgSz w:w="8539" w:h="12433"/>
          <w:pgMar w:top="1066" w:right="470" w:bottom="1085" w:left="1790" w:header="638" w:footer="3" w:gutter="0"/>
          <w:pgNumType w:start="161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При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крайне тяжелой (IV) степени орофарингеального синдро</w:t>
        <w:softHyphen/>
        <w:t>ма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после некоторого ослабления первичной гиперемии на 4—6-е сутки она вновь рецидивирует: слизистая оболочка становится синюшной, с белыми налетами, отекает. Вскоре развиваются обширные язвенно-некротические поражения, распространяю</w:t>
        <w:softHyphen/>
        <w:t>щиеся на подслизистый слой и глубже, язвы инфицируются,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отмечается выраженный болевой синдром, возникают местные геморрагии. Течение процесса длительное (до 1,5 месяца), реци</w:t>
        <w:softHyphen/>
        <w:t>дивирующее, с неполной и часто дефектной репарацией слизи</w:t>
        <w:softHyphen/>
        <w:t>стой оболочки, которая остается истонченной, сухой, с множе</w:t>
        <w:softHyphen/>
        <w:t>ственными, легко ранимыми рубцами.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520" w:line="228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Предполагается, что после облучения области ротоносоглот- ки в дозах более 15 Гр орофарингеальный синдром может явить</w:t>
        <w:softHyphen/>
        <w:t>ся причиной летального исхода не менее чем в 50% случаев.</w:t>
      </w:r>
    </w:p>
    <w:p>
      <w:pPr>
        <w:pStyle w:val="Style44"/>
        <w:keepNext/>
        <w:keepLines/>
        <w:widowControl w:val="0"/>
        <w:numPr>
          <w:ilvl w:val="1"/>
          <w:numId w:val="95"/>
        </w:numPr>
        <w:shd w:val="clear" w:color="auto" w:fill="auto"/>
        <w:tabs>
          <w:tab w:pos="433" w:val="left"/>
        </w:tabs>
        <w:bidi w:val="0"/>
        <w:spacing w:before="0" w:after="200" w:line="276" w:lineRule="auto"/>
        <w:ind w:left="0" w:right="0" w:firstLine="0"/>
        <w:jc w:val="center"/>
      </w:pPr>
      <w:bookmarkStart w:id="86" w:name="bookmark86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КРАТКАЯ ХАРАКТЕРИСТИКА ЛЕКАРСТВЕННЫХ СРЕДСТВ</w:t>
        <w:br/>
        <w:t>ДЛЯ ЛЕЧЕНИЯ МЕСТНЫХ ЛУЧЕВЫХ ПОРАЖЕНИЙ</w:t>
      </w:r>
      <w:bookmarkEnd w:id="86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Лечение местных лучевых поражений должно быть комплекс</w:t>
        <w:softHyphen/>
        <w:t>ным, т. е. включать средства, обладающие антисептическими, антибактериальными, детоксицирующими, анальгетическими, противовоспалительными, десенсибилизирующими, некролити- ческими и стимулирующими репаративные процессы свойства</w:t>
        <w:softHyphen/>
        <w:t>ми. Ниже представлены основные группы фармакологических средств, применяющихся в ходе консервативного лечения мест</w:t>
        <w:softHyphen/>
        <w:t>ных лучевых поражений (МЛП) кожи.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СРЕДСТВА БОРЬБЫ С ИНФЕКЦИЕЙ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Важнейшее место в консервативной терапии местных радиа</w:t>
        <w:softHyphen/>
        <w:t>ционных поражений кожи и слизистых оболочек занимает борь</w:t>
        <w:softHyphen/>
        <w:t>ба с инфекцией. Помимо системной (общей) антибиотикотера- пии с этой целью местно применяют жидкости, присыпки, мази и аэрозоли, содержащие антисептики, химиотерапевтические средства и антибиотики. Помимо этих групп препаратов, для стимуляции местного иммунитета рекомендуются иммуномоду</w:t>
        <w:softHyphen/>
        <w:t xml:space="preserve">ляторы, в частности низкомолекулярный фактор тимуса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вилозен,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полисахарид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продигиозан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др.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28" w:lineRule="auto"/>
        <w:ind w:left="0" w:right="0" w:firstLine="360"/>
        <w:jc w:val="both"/>
        <w:sectPr>
          <w:headerReference w:type="default" r:id="rId390"/>
          <w:footerReference w:type="default" r:id="rId391"/>
          <w:headerReference w:type="even" r:id="rId392"/>
          <w:footerReference w:type="even" r:id="rId393"/>
          <w:footnotePr>
            <w:pos w:val="pageBottom"/>
            <w:numFmt w:val="chicago"/>
            <w:numRestart w:val="continuous"/>
            <w15:footnoteColumns w:val="1"/>
          </w:footnotePr>
          <w:pgSz w:w="8539" w:h="12433"/>
          <w:pgMar w:top="1109" w:right="1003" w:bottom="1109" w:left="1214" w:header="681" w:footer="3" w:gutter="0"/>
          <w:pgNumType w:start="163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 качестве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антисептиков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для консервативного лечения МЛП применяются растворы перекиси водорода, перманганата калия, борной кислоты. Действие водных растворов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перекиси водорода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(обычно 3% раствор)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перманганата калия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(0,1—0,5% растворы) ограничивается раневой поверхностью и не распространяется вглубь тканей, где гнездятся микробы. В то же время использо</w:t>
        <w:softHyphen/>
        <w:t>вание раствора перекиси водорода способствует щадящей меха</w:t>
        <w:softHyphen/>
        <w:t>нической обработке раны — вместе с образующейся пеной уда</w:t>
        <w:softHyphen/>
        <w:t>ляются нежизнеспособные кусочки тканей. Для лечения луче-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вых ожогов, инфицированных синегнойной палочкой, нужно применять 1—3% раствор или порошок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борной кислоты.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К числу современных антисептиков относится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диметил</w:t>
        <w:softHyphen/>
        <w:t>сульфоксид (димексид).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Препарат обладает антимикробной и про</w:t>
        <w:softHyphen/>
        <w:t>тивовоспалительной активностью, потенцирует действие анти</w:t>
        <w:softHyphen/>
        <w:t>биотиков и восстанавливает чувствительность микрофлоры к ним, способен проникать через клеточные мембраны без их по</w:t>
        <w:softHyphen/>
        <w:t>вреждения при активном транспорте лекарственных средств.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Химиопрепараты,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к которым относятся нитрофураны, диокси</w:t>
        <w:softHyphen/>
        <w:t xml:space="preserve">дин, йодопирон, детергенты и другие, обладают выраженными антимикробными свойствами, малой токсичностью и широким спектром действия.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Фурацилин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фурагин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являются представите</w:t>
        <w:softHyphen/>
        <w:t>лями производных нитрофуранового ряда и обладают бактери</w:t>
        <w:softHyphen/>
        <w:t>цидным действием в отношении стрептококка, стафилококков, кишечной палочки.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Диоксидин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йодопирон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оказывают прямой бактерицидный эффект в отношении грамположительной и грамотрицательной микрофлоры, в том числе кишечной и синегнойной палочек, и часто используются в сочетании с поверхностно активными ве</w:t>
        <w:softHyphen/>
        <w:t>ществами для обработки ожоговых и гнойных ран. Кроме того, в качестве антисептиков для лечения лучевых ожогов можно при</w:t>
        <w:softHyphen/>
        <w:t xml:space="preserve">менять растворы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грамицидина, риванола, хлоргексидина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пр.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Противомикробное действие современных детергентов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(ОС-20, этоний, роккал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др.) связано с их способностью изменять по</w:t>
        <w:softHyphen/>
        <w:t>верхностное натяжение (проницаемость) бактериальной клетки. Тем самым поверхностно активные вещества адаптируют мик</w:t>
        <w:softHyphen/>
        <w:t>рофлору к действию антисептиков, активность которых, соот</w:t>
        <w:softHyphen/>
        <w:t>ветственно, возрастает.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Антибиотики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виде присыпок, растворов, мазей и аэрозолей широко применяются для местного лечения ран и ожогов, в том числе радиационных. Выпускаемые на жировой (вазелин-лано- линовой) основе мази с антибиотиками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(тетрациклиновая, син- томициновая, эритромициновая, левомицетиновая, гентамицино</w:t>
        <w:softHyphen/>
        <w:t>вая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др.) содержат от 1 до 10% того или иного препарата. Анти</w:t>
        <w:softHyphen/>
        <w:t>микробная активность и эффект каждого из них определяются в первую очередь чувствительностью раневой микрофлоры к определенному антибиотику.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тех случаях, когда необходимо очищение раны от гноя и некротических масс, применение мазей с антибиотиками на жи</w:t>
        <w:softHyphen/>
        <w:t xml:space="preserve">ровой основе не рекомендуется. Вазелин-ланолиновая основа обладает выраженной гидрофобностью, что не позволяет мазям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смешиваться с раневым экссудатом и поглощать его. В результа</w:t>
        <w:softHyphen/>
        <w:t>те ухудшается отток из раны и ее очищение от гноя и некротиче</w:t>
        <w:softHyphen/>
        <w:t>ских масс, т. е. течение фазы воспаления затягивается.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Помимо медикаментозных средств для борьбы с инфекцией используют коллагеновые покрытия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комбутек, адгезив-ремизив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другие, а также бактерицидную ткань для перевязки. Кроме того, в последнее время предложены лекарственные формы, со</w:t>
        <w:softHyphen/>
        <w:t>держащие антибиотики в аэрозольной упаковке. Наиболее перс</w:t>
        <w:softHyphen/>
        <w:t>пективны пенообразующие аэрозоли с антимикробными препа</w:t>
        <w:softHyphen/>
        <w:t>ратами (фурагин, диоксидин). Они не опасны при распылении, долго не высыхают и могут создать в ране нужную концентра</w:t>
        <w:softHyphen/>
        <w:t>цию препарата.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Для борьбы с молочницей, развивающейся при МЛП кожи, применяют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леворин,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щелочные полоскания, смазывание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бурой с глицерином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нистатиновой мазью, декамин.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случае герпети</w:t>
        <w:softHyphen/>
        <w:t xml:space="preserve">ческой инфекции слизистых оболочек и кожи используют мази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ацикловир, зовиракс, алписарин, хелепин.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Необходимо помнить, что для профилактики развития ране</w:t>
        <w:softHyphen/>
        <w:t>вой инфекции больной должен содержаться в изолированном помещении, а при перевязках необходимо тщательно соблюдать правила асептики и антисептики.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0" w:firstLine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АНТИОКСИДАНТЫ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лучевых повреждениях кожи выраженным терапевтиче</w:t>
        <w:softHyphen/>
        <w:t xml:space="preserve">ским действием обладают антиоксиданты: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ретинол-ацетат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(ви</w:t>
        <w:softHyphen/>
        <w:t xml:space="preserve">тамин А) и его провитамин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^-каротин, дибунол (ионол), диэтон.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эксперименте показана также эффективность при радиацион</w:t>
        <w:softHyphen/>
        <w:t>ном поражении кожи рецептур, состоящих из компонентов ан</w:t>
        <w:softHyphen/>
        <w:t xml:space="preserve">тиоксидантной системы —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витаминов Е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С, унитиола.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0"/>
        <w:jc w:val="both"/>
        <w:sectPr>
          <w:headerReference w:type="default" r:id="rId394"/>
          <w:footerReference w:type="default" r:id="rId395"/>
          <w:headerReference w:type="even" r:id="rId396"/>
          <w:footerReference w:type="even" r:id="rId397"/>
          <w:headerReference w:type="first" r:id="rId398"/>
          <w:footerReference w:type="first" r:id="rId399"/>
          <w:footnotePr>
            <w:pos w:val="pageBottom"/>
            <w:numFmt w:val="chicago"/>
            <w:numRestart w:val="continuous"/>
            <w15:footnoteColumns w:val="1"/>
          </w:footnotePr>
          <w:pgSz w:w="8539" w:h="12433"/>
          <w:pgMar w:top="1224" w:right="648" w:bottom="1053" w:left="157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Антиоксиданты при местном применении сокращают сроки заживления радиационных поражений кожи, смягчают тяжесть эпителиитов, возникающих после сочетанной лучевой терапии онкогинекологических больных. Использование мазей и кре</w:t>
        <w:softHyphen/>
        <w:t>мов, содержащих антиоксиданты, способствует уменьшению бо</w:t>
        <w:softHyphen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левого синдрома, снижению экссудации и оживлению грануля</w:t>
        <w:softHyphen/>
        <w:t>ций, профилактике поздних фиброзов кожи и подлежащих тка</w:t>
        <w:softHyphen/>
        <w:t xml:space="preserve">ней, лучевых эпителиитов ротоглотки, улучшению иммунного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статуса.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0" w:firstLine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ПРОТИВОВОСПАЛИТЕЛЬНЫЕ СРЕДСТВА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Важным направлением консервативной терапии местных лу</w:t>
        <w:softHyphen/>
        <w:t>чевых поражений кожи и слизистых оболочек является местное и системное использование средств, направленных на ослабле</w:t>
        <w:softHyphen/>
        <w:t>ние воспалительной реакции, в первую очередь болевого синд</w:t>
        <w:softHyphen/>
        <w:t>рома и отека. Для этих целей используют прежде всего нестеро</w:t>
        <w:softHyphen/>
        <w:t>идные противовоспалительные препараты, анальгетики, некро- литические и детоксицирующие средства и пр.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Для ослабления чувства боли и жжения местно применяют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мази с новокаином, анестезином, дикаином,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а при сильном боле</w:t>
        <w:softHyphen/>
        <w:t xml:space="preserve">вом синдроме системно —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пантопон, морфин,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нейролептаналге- зию. Для снятия местной воспалительной реакции можно испо</w:t>
        <w:softHyphen/>
        <w:t xml:space="preserve">льзовать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вольтарен эмульгель, 2% мазь ортофена, ибупрофеновую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индометациновую мази, масло пихты, экстракт ромашки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др. Высокоэффективным средством, обладающим как местным противовоспалительным, так и аналгезирующим действием, является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лиоксазин,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который выпускается в форме геля, мази и салфеток.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Местная детоксикация в ране осуществляется с использова</w:t>
        <w:softHyphen/>
        <w:t xml:space="preserve">нием сорбентов, промыванием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10% раствором мочевины.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Систем</w:t>
        <w:softHyphen/>
        <w:t>ную детоксикацию применяют, как правило, при обширных по</w:t>
        <w:softHyphen/>
        <w:t>ражениях кожи. Так, при лечении пострадавших с тяжелыми ра</w:t>
        <w:softHyphen/>
        <w:t xml:space="preserve">диационными поражениями кожи, полученными при аварии на ЧАЭС, использовали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свежезамороженную плазму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(в сочетании с круглосуточным введением гепарина), гемосорбцию, плазмафе</w:t>
        <w:softHyphen/>
        <w:t xml:space="preserve">рез. Обширный отек и нарастающие боли в местах поражений являются показанием к применению антипротеолитиков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(конт- рикал, трасилол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др.) и кровезаменителей, обладающих дезин- токсицируюшим, реологическим, гемодинамическим и диурети</w:t>
        <w:softHyphen/>
        <w:t xml:space="preserve">ческим действием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(гемодез, полиглюкин, поливисолин, реоглюман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ДР )•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539" w:h="12433"/>
          <w:pgMar w:top="1191" w:right="607" w:bottom="1097" w:left="163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скорейшего очищения раны от девитализированных тка</w:t>
        <w:softHyphen/>
        <w:t xml:space="preserve">ней применяют некролитические препараты, в частности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40% салициловую мазь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протеолитические ферменты.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Салициловая мазь используется для ранней «химической некрэктомии» при обширном поражении кожи; ее накладывают на сухой или пред</w:t>
        <w:softHyphen/>
        <w:t>варительно подсушенный влажный струп. Препараты протеоли</w:t>
        <w:softHyphen/>
        <w:t xml:space="preserve">тических ферментов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(трипсин, химопсин, химотрипсин, террили- тин)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оказывают некролитическое и противовоспалительное дей</w:t>
        <w:softHyphen/>
        <w:t>ствие, что способствует быстрому и безболезненному очищению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ран. Ферменты наносят непосредственно на рану или растворя</w:t>
        <w:softHyphen/>
        <w:t>ют в гипертоническом растворе натрия хлорида.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0" w:firstLine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СТИМУЛЯТОРЫ РЕПАРАТИВНОЙ РЕГЕНЕРАЦИИ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Очищение раны от некротических тканей, уменьшение коли</w:t>
        <w:softHyphen/>
        <w:t>чества отделяемого, ликвидация перифокального отека и инфи</w:t>
        <w:softHyphen/>
        <w:t>льтрации свидетельствует о переходе первой фазы ожогового процесса (стадии воспаления) в фазу регенерации. Основная за</w:t>
        <w:softHyphen/>
        <w:t>дача консервативной терапии в этой фазе — стимуляция репара</w:t>
        <w:softHyphen/>
        <w:t>тивно-регенеративных процессов в ране, что достигается путем применения мазей, содержащих метилурацил, солкосерил и т. п., а также использованием методов лазеротерапии, гипербариче</w:t>
        <w:softHyphen/>
        <w:t>ской оксигенации и др.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Метилурацил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(пиримидиновое производное) обладает мест</w:t>
        <w:softHyphen/>
        <w:t>ным противовоспалительным эффектом, нормализует обменные процессы в тканях, способен активировать местный фагоцитоз и поэтому стимулирует процессы заживления ран. Важным свой</w:t>
        <w:softHyphen/>
        <w:t>ством метилурацила является способность уменьшать негатив</w:t>
        <w:softHyphen/>
        <w:t>ное влияние на организм антибиотиков, сульфаниламидов, гор</w:t>
        <w:softHyphen/>
        <w:t>монов и повышать резистентность клеток к различным вредным воздействиям. Часто метилурацил используется совместно с ан</w:t>
        <w:softHyphen/>
        <w:t xml:space="preserve">тибиотиками, например с левомицетином (в составе рецептуры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левомеколь).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Применяется в виде 5% или 10% мази на жировой основе.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Другим препаратом, эффективно стимулирующим обменные процессы в тканях, является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солкосерил —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экстракт крови круп</w:t>
        <w:softHyphen/>
        <w:t>ного рогатого скота, освобожденный от протеинов и не облада</w:t>
        <w:softHyphen/>
        <w:t>ющий антигенной активностью. Препарат ускоряет рост грану</w:t>
        <w:softHyphen/>
        <w:t>ляций и эпителизацию раны, улучшает обменные процессы в тканях. На раны солкосерил наносят в виде желе или мази. Местное лечение рекомендуют дополнить инъекциями этого препарата.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539" w:h="12433"/>
          <w:pgMar w:top="1169" w:right="1035" w:bottom="1070" w:left="119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Кроме метилурацила и солкосерила для стимуляции репара</w:t>
        <w:softHyphen/>
        <w:t xml:space="preserve">тивной регенерации можно использовать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винилин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(бальзам Шос- таковского),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дибунол, полимерол, актовегин, вульнозан, альгинор, облепиховое масло, мази коланхоэ, прополиса, лишайниковых кис</w:t>
        <w:softHyphen/>
        <w:t>лот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(особенно гидрофоровой и хиасцевой),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гесперидина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его производных,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дезоксината, деларгина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др. К этой же группе от</w:t>
        <w:softHyphen/>
        <w:t xml:space="preserve">носятся мазь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оксизон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сходные с ней по составу и характеру дей</w:t>
        <w:softHyphen/>
        <w:t xml:space="preserve">ствия мази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оксикорт, гиоксизон, геокортизон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локаокортен-Н.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475615" cy="450850"/>
            <wp:docPr id="474" name="Picutre 47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4" name="Picture 474"/>
                    <pic:cNvPicPr/>
                  </pic:nvPicPr>
                  <pic:blipFill>
                    <a:blip r:embed="rId400"/>
                    <a:stretch/>
                  </pic:blipFill>
                  <pic:spPr>
                    <a:xfrm>
                      <a:ext cx="475615" cy="4508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259" w:line="1" w:lineRule="exact"/>
      </w:pP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ПРЕПАРАТЫ КОМПЛЕКСНОГО ДЕЙСТВИЯ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Следует отметить, что многие современные средства местно</w:t>
        <w:softHyphen/>
        <w:t>го лечения радиационных поражений кожи обладают комплекс</w:t>
        <w:softHyphen/>
        <w:t>ным действием, способствуя ускорению заживления лучевых ожогов путем воздействия на различные патогенетические меха</w:t>
        <w:softHyphen/>
        <w:t>низмы.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520" w:line="230" w:lineRule="auto"/>
        <w:ind w:left="0" w:right="0"/>
        <w:jc w:val="both"/>
      </w:pPr>
      <w:bookmarkStart w:id="88" w:name="bookmark88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К числу таких средств относятся аэрозольный препарат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лиок- сазоль (лиоксанол),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стимулирующий процессы репаративной ре</w:t>
        <w:softHyphen/>
        <w:t xml:space="preserve">генерации и обладающий аналгезирующим, бактерицидным и противовоспалительным действием, а также мази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левомеколь, ле- восин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диоксиколь,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сочетающие метаболический эффект с анти</w:t>
        <w:softHyphen/>
        <w:t>бактериальной и противовоспалительной активностью. Выражен</w:t>
        <w:softHyphen/>
        <w:t xml:space="preserve">ным терапевтическим эффектом при лучевых ожогах обладают также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ируксол, биопин, олазоль, диэтон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левометоксиО,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оказыва</w:t>
        <w:softHyphen/>
        <w:t>ющие противовоспалительное, ранозаживляющее и иммуности</w:t>
        <w:softHyphen/>
        <w:t>мулирующее действие.</w:t>
      </w:r>
      <w:bookmarkEnd w:id="88"/>
    </w:p>
    <w:p>
      <w:pPr>
        <w:pStyle w:val="Style44"/>
        <w:keepNext/>
        <w:keepLines/>
        <w:widowControl w:val="0"/>
        <w:numPr>
          <w:ilvl w:val="1"/>
          <w:numId w:val="95"/>
        </w:numPr>
        <w:shd w:val="clear" w:color="auto" w:fill="auto"/>
        <w:tabs>
          <w:tab w:pos="438" w:val="left"/>
        </w:tabs>
        <w:bidi w:val="0"/>
        <w:spacing w:before="0" w:after="220" w:line="276" w:lineRule="auto"/>
        <w:ind w:left="0" w:right="0" w:firstLine="0"/>
        <w:jc w:val="center"/>
      </w:pPr>
      <w:bookmarkStart w:id="89" w:name="bookmark89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ОБЩИЕ ПРИНЦИПЫ ЛЕЧЕНИЯ</w:t>
        <w:br/>
        <w:t>МЕСТНЫХ ЛУЧЕВЫХ ПОРАЖЕНИЙ</w:t>
      </w:r>
      <w:bookmarkEnd w:id="89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Порядок и последовательность применения перечисленных выше средств и методов терапии местных лучевых поражений опреде</w:t>
        <w:softHyphen/>
        <w:t>ляется главным образом фазой ожогового процесса.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первой фазе (стадия воспаления)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применяются средства бо</w:t>
        <w:softHyphen/>
        <w:t>рьбы с инфекцией, противовоспалительные и обезболивающие препараты, а также средства, способствующие очищению ожо</w:t>
        <w:softHyphen/>
        <w:t>говой раны от некротизированных тканей.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фазе регенерации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используют препараты, стимулирующие репаративные процессы, способствующие росту грануляций, ускоряющие эпителизацию, защищающие грануляционную ткань от вторичной инфекции и подавляющие вегетирующую в ране микрофлору, обладающие противовоспалительной актив</w:t>
        <w:softHyphen/>
        <w:t>ностью, улучшающие микроциркуляцию и обменные процессы в тканях.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40" w:line="230" w:lineRule="auto"/>
        <w:ind w:left="0" w:right="0"/>
        <w:jc w:val="both"/>
        <w:sectPr>
          <w:headerReference w:type="default" r:id="rId402"/>
          <w:footerReference w:type="default" r:id="rId403"/>
          <w:headerReference w:type="even" r:id="rId404"/>
          <w:footerReference w:type="even" r:id="rId405"/>
          <w:footnotePr>
            <w:pos w:val="pageBottom"/>
            <w:numFmt w:val="chicago"/>
            <w:numRestart w:val="continuous"/>
            <w15:footnoteColumns w:val="1"/>
          </w:footnotePr>
          <w:pgSz w:w="8539" w:h="12433"/>
          <w:pgMar w:top="200" w:right="614" w:bottom="1011" w:left="162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Лечение лучевых ожогов в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третьей фазе раневого процесса (стадии эпителизации)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практически идентично применяемому во второй фазе и направлено главным образом на предохранение раны от дополнительного травмирования и стимуляцию процес</w:t>
        <w:softHyphen/>
        <w:t>сов эпителизации. Наиболее перспективны для использования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этой фазе препараты комплексного действия, надежно кон</w:t>
        <w:softHyphen/>
        <w:t>тролирующие инфекцию в ране, защищающие от вредных влияний (высушивание, механическая травма) грануляционную ткань, обеспечивающие адекватное дренирование, стимулирую</w:t>
        <w:softHyphen/>
        <w:t>щие процессы пролиферации и т. д.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Тактика консервативного лечения поздних лучевых язв не отличается существенно от принципов лечения в острой фазе. Средства, улучшающие кровообращение в тканях, до некоторой степени способствуют и уменьшению фиброза дермы и подкож</w:t>
        <w:softHyphen/>
        <w:t>ной клетчатки, причем более выраженный эффект выявляется у препаратов, усиливающих венозный отток. Арсенал мазей при</w:t>
        <w:softHyphen/>
        <w:t>ходится расширять и варьировать из-за большой склонности в отдаленные сроки к аллергическим реакциям, в связи с чем здесь необходим индивидуальный подбор средств. При значите</w:t>
        <w:softHyphen/>
        <w:t>льной выраженности фиброзирования тканей показано приме</w:t>
        <w:softHyphen/>
        <w:t xml:space="preserve">нение компрессов с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диметилсулъфоноксидом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(ДМСО). Такая же лечебная тактика полезна и в качестве предоперационной подго</w:t>
        <w:softHyphen/>
        <w:t>товки.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Лечебная тактика существенно различается и в зависимости от периода течения МЛП.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 стадии первичной эритемы лечение, как правило, не тре</w:t>
        <w:softHyphen/>
        <w:t>буется. Однако при значительной выраженности гиперемии кожу пораженного участка целесообразно обработать аэрозолем или смазать кремом, содержащим кортикостероиды. При необ</w:t>
        <w:softHyphen/>
        <w:t>ходимости могут быть назначены анальгетики и десенсибилизи</w:t>
        <w:softHyphen/>
        <w:t xml:space="preserve">рующие препараты. В очень тяжелых случаях показано раннее использование антипротеолитических средств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(контрикал, гор- докс).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539" w:h="12433"/>
          <w:pgMar w:top="1104" w:right="1016" w:bottom="1104" w:left="119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латентный период в основном осуществляют наблюдение за пострадавшим. Если есть основания предполагать высокую степень поражения (известна доза, стойкость ранней эритемы с признаками отека), начинают или продолжают введение инги</w:t>
        <w:softHyphen/>
        <w:t>биторов протеолиза. Общая продолжительность курса их приме</w:t>
        <w:softHyphen/>
        <w:t>нения может составлять до 8—10 дней. Эти препараты снижают выраженность болевого синдрома, благотворно влияют на сосу</w:t>
        <w:softHyphen/>
        <w:t>дистую стенку, уменьшают отек. При инструментальном выявле</w:t>
        <w:softHyphen/>
        <w:t xml:space="preserve">нии признаков измененной микроциркуляции еще до развития вторичной эритемы показано назначение средств, улучшающих тканевое кровообращение. Средством выбора является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пенток</w:t>
        <w:softHyphen/>
        <w:t>сифиллин (трентал),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который на этой стадии может быть назна</w:t>
        <w:softHyphen/>
        <w:t>чен в виде таблеток (драже) по 0,2 г 3 раза в сутки. В конце скры-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того периода возможно применение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лиоксазоля,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специфическое действие которого на пораженные радиацией клетки кожи дока</w:t>
        <w:softHyphen/>
        <w:t xml:space="preserve">зано в эксперименте и нашло подтверждение в клинической практике: препарат усиливает физиологическую репарацию, а не избыточную, опасную в плане злокачественного перерождения. Вместо ликсазоля можно также использовать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лиоксазин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виде геля.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 стадии вторичной эритемы лечение с применением лиок</w:t>
        <w:softHyphen/>
        <w:t>сазоля или лиоксазина продолжается (или начинается, если не применялось ранее). Могут быть использованы также аэрозоли или кремы, содержащие кортикостероиды, в том числе и те, в состав которых входят антибиотики и витамины.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Эти же средства могут быть использованы и на стадии обра</w:t>
        <w:softHyphen/>
        <w:t>зования пузырей. При этом следует подчеркнуть, что хирургиче</w:t>
        <w:softHyphen/>
        <w:t>ское удаление пузырей, практикуемое при лечении термических ожогов, при лучевом поражении не рекомендуется. Необходимо стремиться к наименьшей травматизации тканей. Заживление «под струпом» наиболее благоприятно для МЛП, и только выяв</w:t>
        <w:softHyphen/>
        <w:t>ление явных признаков раневой инфекции может потребовать хирургического очищения пораженной поверхности. Весьма эф</w:t>
        <w:softHyphen/>
        <w:t xml:space="preserve">фективным приемом лечения МЛП на этой стадии является применение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лиоксазина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виде салфеток или влажных повязок, постоянно орошаемых раствором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риванола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(1:1000),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хлоргексидина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(0,5% раствор) или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Бализа-2.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Последний препарат обладает не только антибактериальным, но и стимулирующим заживление свойством.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539" w:h="12433"/>
          <w:pgMar w:top="1109" w:right="471" w:bottom="1109" w:left="178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Формирование первичной лучевой язвы в большинстве слу</w:t>
        <w:softHyphen/>
        <w:t xml:space="preserve">чаев требует некоторой смены тактики — переход на мазевые повязки, использование различных препаратов «искусственной кожи» или лиофилизированной свиной кожи. Благоприятные результаты лечения МЛП кожи в этой стадии получены при применении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«Противоожоговой мази»,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состав которой входит левомицитин, гидрокортизон, витаминизированный рыбий жир и метилурацил. Для этих же целей предназначен и крем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актове</w:t>
        <w:softHyphen/>
        <w:t>гин.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Из препаратов «искусственной кожи» высокую эффектив</w:t>
        <w:softHyphen/>
        <w:t xml:space="preserve">ность показали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комбутек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некоторые другие коллагеновые по</w:t>
        <w:softHyphen/>
        <w:t>крытия с пропиткой антибиотиками и витаминами. Их приме</w:t>
        <w:softHyphen/>
        <w:t>нение способствует изоляции раны от экзогенной инфекции и уменьшению плазмореи, а также благоприятно влияет на про</w:t>
        <w:softHyphen/>
        <w:t>цессы заживления.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Течение патологического процесса в тканях требует постоян</w:t>
        <w:softHyphen/>
        <w:t>ной заботы об улучшении местного кровоснабжения. С этой це</w:t>
        <w:softHyphen/>
        <w:t xml:space="preserve">лью показан уже упомянутый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пентоксифиллин,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внутривенные инъекции которого целесообразно проводить в течение 2-3 не</w:t>
        <w:softHyphen/>
        <w:t>дель с начала выраженных изменений (вторичная эритема, пу</w:t>
        <w:softHyphen/>
        <w:t>зыри) с последующим повторением курса в конце второго — на</w:t>
        <w:softHyphen/>
        <w:t>чале третьего месяца от момента лучевой травмы. В последние годы все более широкое применение находят препараты, улуч</w:t>
        <w:softHyphen/>
        <w:t xml:space="preserve">шающие венозный отток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(глевинол),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ангиопротекторы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(продек</w:t>
        <w:softHyphen/>
        <w:t>тин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троксевазин).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 стадии начинающегося заживления, наряду с метилура</w:t>
        <w:softHyphen/>
        <w:t xml:space="preserve">циловой мазью, рекомендуется лечение препаратами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солкосерила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(мазь и желе местно) в сочетании с внутримышечным или внут</w:t>
        <w:softHyphen/>
        <w:t>ривенным введением препарата по 20 мл в сутки. Солкосерил стимулирует заживление, улучшая усвоение кислорода и стиму</w:t>
        <w:softHyphen/>
        <w:t>лируя обменные процессы в пораженных тканях.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  <w:sectPr>
          <w:headerReference w:type="default" r:id="rId406"/>
          <w:footerReference w:type="default" r:id="rId407"/>
          <w:headerReference w:type="even" r:id="rId408"/>
          <w:footerReference w:type="even" r:id="rId409"/>
          <w:footnotePr>
            <w:pos w:val="pageBottom"/>
            <w:numFmt w:val="chicago"/>
            <w:numRestart w:val="continuous"/>
            <w15:footnoteColumns w:val="1"/>
          </w:footnotePr>
          <w:pgSz w:w="8539" w:h="12433"/>
          <w:pgMar w:top="1116" w:right="1104" w:bottom="1116" w:left="1147" w:header="688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Низкая эффективность консервативной терапии МЛП (как в остром периоде, так и в период отдаленных последствий) опре</w:t>
        <w:softHyphen/>
        <w:t>деляет необходимость хирургического вмешательства, которое в ряде случаев может оказаться единственным способом спасения больного. Основными показаниями к оперативным вмешатель</w:t>
        <w:softHyphen/>
        <w:t>ствам являются тяжелая интоксикация и септические осложне</w:t>
        <w:softHyphen/>
        <w:t>ния, обусловленные глубоким некрозом кожи и подлежащих тканей, а в позднем периоде — незаживающие лучевые язвы и озлокачествление. Главное условие успешности хирургического вмешательства — жесткая необходимость оперировать вне зоны облученных тканей (это связано с их низкой регенераторной способностью, наличием местного инфекционного процесса, высоким риском вторичного кровотечения и сложностью его остановки). Максимальное по глубине и площади иссечение по</w:t>
        <w:softHyphen/>
        <w:t>раженного участка одним блоком и адекватное закрытие дефекта, к сожалению, возможно далеко не во всех случаях. Выраженный позитивный эффект от оперативного лечения может регистри</w:t>
        <w:softHyphen/>
        <w:t>роваться главным образом при локализации ожога на конечно</w:t>
        <w:softHyphen/>
        <w:t>стях (в этом случае ампутация может оказаться спасительной) или вне зон сложных анатомических структур (магистральные артерии, нервные стволы, сухожилия и т. д.).</w:t>
      </w:r>
    </w:p>
    <w:p>
      <w:pPr>
        <w:widowControl w:val="0"/>
        <w:spacing w:line="1" w:lineRule="exact"/>
      </w:pPr>
      <w:r>
        <w:drawing>
          <wp:anchor distT="0" distB="0" distL="114300" distR="114300" simplePos="0" relativeHeight="125829434" behindDoc="0" locked="0" layoutInCell="1" allowOverlap="1">
            <wp:simplePos x="0" y="0"/>
            <wp:positionH relativeFrom="page">
              <wp:posOffset>433070</wp:posOffset>
            </wp:positionH>
            <wp:positionV relativeFrom="paragraph">
              <wp:posOffset>12700</wp:posOffset>
            </wp:positionV>
            <wp:extent cx="152400" cy="640080"/>
            <wp:wrapSquare wrapText="bothSides"/>
            <wp:docPr id="483" name="Shape 48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4" name="Picture box 484"/>
                    <pic:cNvPicPr/>
                  </pic:nvPicPr>
                  <pic:blipFill>
                    <a:blip r:embed="rId410"/>
                    <a:stretch/>
                  </pic:blipFill>
                  <pic:spPr>
                    <a:xfrm>
                      <a:ext cx="152400" cy="64008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8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both"/>
        <w:rPr>
          <w:sz w:val="19"/>
          <w:szCs w:val="19"/>
        </w:rPr>
      </w:pPr>
      <w:r>
        <w:rPr>
          <w:b/>
          <w:bCs/>
          <w:spacing w:val="0"/>
          <w:w w:val="100"/>
          <w:position w:val="0"/>
          <w:sz w:val="19"/>
          <w:szCs w:val="19"/>
          <w:shd w:val="clear" w:color="auto" w:fill="auto"/>
          <w:lang w:val="ru-RU" w:eastAsia="ru-RU" w:bidi="ru-RU"/>
        </w:rPr>
        <w:t>Литература для самоподготовки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62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Основная: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62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Военная токсикология, радиобиология и медицинская защита: Учебник / Под ред. С. А. Куценко. — СПб: Фолиант, 2004. — С. 418-425.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62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Практикум по токсикологии и медицинской защите: Учебное пособие / Под ред. А. Н. Гребенюка. — СПб: Фолиант, 2010. — С. 158-171.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20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Тестовые задания по военной токсикологии, радиобиологии и медицинской защите: Учебное пособие / Под ред. С. А. Куценко. — СПб: Фолиант, 2005. — С. 138-142.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62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Дополнительная: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62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Основы медицинской радиобиологии / Под ред. И. Б. Ушакова. — СПб: Фолиант, 2004. — С. 142-148, 152-154, 300-303.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62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Радиационные поражения человека // Радиационная медицина / Под общ. ред. Л. А. Ильина. — М.: ИздАТ, 2001. — С. 161-202.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62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Радиационные поражения человека: Избранные клинические лекции / Под ред. А. Ю. Бушманова, В. Д. Ревы. — М.: Слово, 2007. — С. 121-136.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62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Клиническая радиология: Учебное пособие / Под ред. А. Е. Сосюкина. — М.: ГЭОТАР- Медиа, 2008. — С. 133-144.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62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Средства профилактики и лечения лучевых поражений / М. В. Васин. — М.: РМАПО, 2006. — С. 270-284.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20" w:line="262" w:lineRule="auto"/>
        <w:ind w:left="360" w:right="0" w:hanging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Медицинские средства профилактики и терапии радиационных поражений: Учеб</w:t>
        <w:softHyphen/>
        <w:t>ное пособие/А. Н. Гребенюк, В. И. Легеза, В. Б. Назаров, А. А. Тимошевский. — СПб: Фолиант, 2011, — С. 79-89.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28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Вопросы для самоконтроля</w:t>
      </w:r>
    </w:p>
    <w:p>
      <w:pPr>
        <w:pStyle w:val="Style34"/>
        <w:keepNext w:val="0"/>
        <w:keepLines w:val="0"/>
        <w:widowControl w:val="0"/>
        <w:numPr>
          <w:ilvl w:val="0"/>
          <w:numId w:val="97"/>
        </w:numPr>
        <w:shd w:val="clear" w:color="auto" w:fill="auto"/>
        <w:tabs>
          <w:tab w:pos="274" w:val="left"/>
        </w:tabs>
        <w:bidi w:val="0"/>
        <w:spacing w:before="0" w:after="40" w:line="228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Каковы причины возникновения местных лучевых поражений (МЛП) в повседневной жизни и в военное время? Как можно классифицировать МЛП?</w:t>
      </w:r>
    </w:p>
    <w:p>
      <w:pPr>
        <w:pStyle w:val="Style34"/>
        <w:keepNext w:val="0"/>
        <w:keepLines w:val="0"/>
        <w:widowControl w:val="0"/>
        <w:numPr>
          <w:ilvl w:val="0"/>
          <w:numId w:val="97"/>
        </w:numPr>
        <w:shd w:val="clear" w:color="auto" w:fill="auto"/>
        <w:tabs>
          <w:tab w:pos="289" w:val="left"/>
        </w:tabs>
        <w:bidi w:val="0"/>
        <w:spacing w:before="0" w:after="40" w:line="240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виды ионизирующих излучений могут вызвать МЛП кожи? Почему при одной и той же поглощенной в коже дозе при воздействии у-излучения возникает более тяжелое пора</w:t>
        <w:softHyphen/>
        <w:t>жение, чем при р-облучении?</w:t>
      </w:r>
    </w:p>
    <w:p>
      <w:pPr>
        <w:pStyle w:val="Style34"/>
        <w:keepNext w:val="0"/>
        <w:keepLines w:val="0"/>
        <w:widowControl w:val="0"/>
        <w:numPr>
          <w:ilvl w:val="0"/>
          <w:numId w:val="97"/>
        </w:numPr>
        <w:shd w:val="clear" w:color="auto" w:fill="auto"/>
        <w:tabs>
          <w:tab w:pos="289" w:val="left"/>
        </w:tabs>
        <w:bidi w:val="0"/>
        <w:spacing w:before="0" w:after="40" w:line="228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каких областях и сегментах тела человека наиболее часто ло</w:t>
        <w:softHyphen/>
        <w:t>кализуются МЛП кожи? Почему?</w:t>
      </w:r>
    </w:p>
    <w:p>
      <w:pPr>
        <w:pStyle w:val="Style34"/>
        <w:keepNext w:val="0"/>
        <w:keepLines w:val="0"/>
        <w:widowControl w:val="0"/>
        <w:numPr>
          <w:ilvl w:val="0"/>
          <w:numId w:val="97"/>
        </w:numPr>
        <w:shd w:val="clear" w:color="auto" w:fill="auto"/>
        <w:tabs>
          <w:tab w:pos="294" w:val="left"/>
        </w:tabs>
        <w:bidi w:val="0"/>
        <w:spacing w:before="0" w:after="40" w:line="228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Дайте гистологическую характеристику кожи. Какие функции выполняет эпидермис, а какие — собственно дерма?</w:t>
      </w:r>
    </w:p>
    <w:p>
      <w:pPr>
        <w:pStyle w:val="Style34"/>
        <w:keepNext w:val="0"/>
        <w:keepLines w:val="0"/>
        <w:widowControl w:val="0"/>
        <w:numPr>
          <w:ilvl w:val="0"/>
          <w:numId w:val="97"/>
        </w:numPr>
        <w:shd w:val="clear" w:color="auto" w:fill="auto"/>
        <w:tabs>
          <w:tab w:pos="289" w:val="left"/>
        </w:tabs>
        <w:bidi w:val="0"/>
        <w:spacing w:before="0" w:after="40" w:line="226" w:lineRule="auto"/>
        <w:ind w:left="260" w:right="0" w:hanging="2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Поражение каких структур кожи имеет наибольшее значение при развитии ранних проявлений лучевых ожогов, а каких — поздних проявлений?</w:t>
      </w:r>
    </w:p>
    <w:p>
      <w:pPr>
        <w:pStyle w:val="Style34"/>
        <w:keepNext w:val="0"/>
        <w:keepLines w:val="0"/>
        <w:widowControl w:val="0"/>
        <w:numPr>
          <w:ilvl w:val="0"/>
          <w:numId w:val="97"/>
        </w:numPr>
        <w:shd w:val="clear" w:color="auto" w:fill="auto"/>
        <w:tabs>
          <w:tab w:pos="289" w:val="left"/>
        </w:tabs>
        <w:bidi w:val="0"/>
        <w:spacing w:before="0" w:after="40" w:line="226" w:lineRule="auto"/>
        <w:ind w:left="260" w:right="0" w:hanging="260"/>
        <w:jc w:val="both"/>
        <w:sectPr>
          <w:headerReference w:type="default" r:id="rId412"/>
          <w:footerReference w:type="default" r:id="rId413"/>
          <w:headerReference w:type="even" r:id="rId414"/>
          <w:footerReference w:type="even" r:id="rId415"/>
          <w:footnotePr>
            <w:pos w:val="pageBottom"/>
            <w:numFmt w:val="chicago"/>
            <w:numRestart w:val="continuous"/>
            <w15:footnoteColumns w:val="1"/>
          </w:footnotePr>
          <w:pgSz w:w="8539" w:h="12433"/>
          <w:pgMar w:top="696" w:right="595" w:bottom="1071" w:left="168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клетки в эпидермисе обладают наибольшей радиочув</w:t>
        <w:softHyphen/>
        <w:t>ствительностью и почему? Каков средний срок прохождения клеток эпидермиса от стволового компартмента до функцио</w:t>
        <w:softHyphen/>
        <w:t>нальных клеток?</w:t>
      </w:r>
    </w:p>
    <w:p>
      <w:pPr>
        <w:pStyle w:val="Style34"/>
        <w:keepNext w:val="0"/>
        <w:keepLines w:val="0"/>
        <w:widowControl w:val="0"/>
        <w:numPr>
          <w:ilvl w:val="0"/>
          <w:numId w:val="97"/>
        </w:numPr>
        <w:shd w:val="clear" w:color="auto" w:fill="auto"/>
        <w:tabs>
          <w:tab w:pos="293" w:val="left"/>
        </w:tabs>
        <w:bidi w:val="0"/>
        <w:spacing w:before="0" w:after="0" w:line="23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факторы определяют тяжесть поражения кожи при внешнем облучении и при наружном заражении радионук</w:t>
        <w:softHyphen/>
        <w:t>лидами?</w:t>
      </w:r>
    </w:p>
    <w:p>
      <w:pPr>
        <w:pStyle w:val="Style34"/>
        <w:keepNext w:val="0"/>
        <w:keepLines w:val="0"/>
        <w:widowControl w:val="0"/>
        <w:numPr>
          <w:ilvl w:val="0"/>
          <w:numId w:val="97"/>
        </w:numPr>
        <w:shd w:val="clear" w:color="auto" w:fill="auto"/>
        <w:tabs>
          <w:tab w:pos="293" w:val="left"/>
        </w:tabs>
        <w:bidi w:val="0"/>
        <w:spacing w:before="0" w:after="0" w:line="23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 зависит степень тяжести лучевого дерматита от погло</w:t>
        <w:softHyphen/>
        <w:t>щенной кожей дозы? Назовите клинические проявления МЛП кожи и сроки их развития в зависимости от поглощен</w:t>
        <w:softHyphen/>
        <w:t>ной дозы у-излучения.</w:t>
      </w:r>
    </w:p>
    <w:p>
      <w:pPr>
        <w:pStyle w:val="Style34"/>
        <w:keepNext w:val="0"/>
        <w:keepLines w:val="0"/>
        <w:widowControl w:val="0"/>
        <w:numPr>
          <w:ilvl w:val="0"/>
          <w:numId w:val="97"/>
        </w:numPr>
        <w:shd w:val="clear" w:color="auto" w:fill="auto"/>
        <w:tabs>
          <w:tab w:pos="293" w:val="left"/>
        </w:tabs>
        <w:bidi w:val="0"/>
        <w:spacing w:before="0" w:after="0" w:line="23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Чем отличаются клинические проявления лучевого дермати</w:t>
        <w:softHyphen/>
        <w:t>та, вызванного наружным заражением кожных покровов продуктами ядерного деления, от местных поражений кожи, развившихся вследствие у-нейтронного облучения, при оди</w:t>
        <w:softHyphen/>
        <w:t>наковых поглощенных кожей дозах?</w:t>
      </w:r>
    </w:p>
    <w:p>
      <w:pPr>
        <w:pStyle w:val="Style34"/>
        <w:keepNext w:val="0"/>
        <w:keepLines w:val="0"/>
        <w:widowControl w:val="0"/>
        <w:numPr>
          <w:ilvl w:val="0"/>
          <w:numId w:val="97"/>
        </w:numPr>
        <w:shd w:val="clear" w:color="auto" w:fill="auto"/>
        <w:tabs>
          <w:tab w:pos="390" w:val="left"/>
        </w:tabs>
        <w:bidi w:val="0"/>
        <w:spacing w:before="0" w:after="0" w:line="23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формы МЛП слизистых оболочек могут возникнуть при воздействии радиации? Все ли виды ионизирующих из</w:t>
        <w:softHyphen/>
        <w:t>лучений способны вызывать лучевой эпителиит (лучевой му</w:t>
        <w:softHyphen/>
        <w:t>козит)?</w:t>
      </w:r>
    </w:p>
    <w:p>
      <w:pPr>
        <w:pStyle w:val="Style34"/>
        <w:keepNext w:val="0"/>
        <w:keepLines w:val="0"/>
        <w:widowControl w:val="0"/>
        <w:numPr>
          <w:ilvl w:val="0"/>
          <w:numId w:val="97"/>
        </w:numPr>
        <w:shd w:val="clear" w:color="auto" w:fill="auto"/>
        <w:tabs>
          <w:tab w:pos="385" w:val="left"/>
        </w:tabs>
        <w:bidi w:val="0"/>
        <w:spacing w:before="0" w:after="0" w:line="23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каких дозах у-облучения можно ожидать развития луче</w:t>
        <w:softHyphen/>
        <w:t>вого орофарингеального синдрома? Какие области тела че</w:t>
        <w:softHyphen/>
        <w:t>ловека должны подвергнуться преимущественному облуче</w:t>
        <w:softHyphen/>
        <w:t>нию?</w:t>
      </w:r>
    </w:p>
    <w:p>
      <w:pPr>
        <w:pStyle w:val="Style34"/>
        <w:keepNext w:val="0"/>
        <w:keepLines w:val="0"/>
        <w:widowControl w:val="0"/>
        <w:numPr>
          <w:ilvl w:val="0"/>
          <w:numId w:val="97"/>
        </w:numPr>
        <w:shd w:val="clear" w:color="auto" w:fill="auto"/>
        <w:tabs>
          <w:tab w:pos="385" w:val="left"/>
        </w:tabs>
        <w:bidi w:val="0"/>
        <w:spacing w:before="0" w:after="0" w:line="23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Опишите клиническую картину лучевого орофарингеального синдрома.</w:t>
      </w:r>
    </w:p>
    <w:p>
      <w:pPr>
        <w:pStyle w:val="Style34"/>
        <w:keepNext w:val="0"/>
        <w:keepLines w:val="0"/>
        <w:widowControl w:val="0"/>
        <w:numPr>
          <w:ilvl w:val="0"/>
          <w:numId w:val="97"/>
        </w:numPr>
        <w:shd w:val="clear" w:color="auto" w:fill="auto"/>
        <w:tabs>
          <w:tab w:pos="380" w:val="left"/>
        </w:tabs>
        <w:bidi w:val="0"/>
        <w:spacing w:before="0" w:after="0" w:line="23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меры необходимо предпринять, чтобы предотвратить развитие МЛП от наружного заражения кожных покровов радионуклидами?</w:t>
      </w:r>
    </w:p>
    <w:p>
      <w:pPr>
        <w:pStyle w:val="Style34"/>
        <w:keepNext w:val="0"/>
        <w:keepLines w:val="0"/>
        <w:widowControl w:val="0"/>
        <w:numPr>
          <w:ilvl w:val="0"/>
          <w:numId w:val="97"/>
        </w:numPr>
        <w:shd w:val="clear" w:color="auto" w:fill="auto"/>
        <w:tabs>
          <w:tab w:pos="380" w:val="left"/>
        </w:tabs>
        <w:bidi w:val="0"/>
        <w:spacing w:before="0" w:after="0" w:line="23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существуют подходы к лечению МЛП кожи? Какие лекарственные препараты можно использовать для этих це</w:t>
        <w:softHyphen/>
        <w:t>лей?</w:t>
      </w:r>
    </w:p>
    <w:p>
      <w:pPr>
        <w:pStyle w:val="Style34"/>
        <w:keepNext w:val="0"/>
        <w:keepLines w:val="0"/>
        <w:widowControl w:val="0"/>
        <w:numPr>
          <w:ilvl w:val="0"/>
          <w:numId w:val="97"/>
        </w:numPr>
        <w:shd w:val="clear" w:color="auto" w:fill="auto"/>
        <w:tabs>
          <w:tab w:pos="385" w:val="left"/>
        </w:tabs>
        <w:bidi w:val="0"/>
        <w:spacing w:before="0" w:after="0" w:line="230" w:lineRule="auto"/>
        <w:ind w:left="340" w:right="0" w:hanging="34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539" w:h="12433"/>
          <w:pgMar w:top="1133" w:right="965" w:bottom="1133" w:left="132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Обоснуйте мероприятия первой медицинской, доврачебной и первой врачебной помощи при воздействии продуктов ядерного деления?</w:t>
      </w:r>
    </w:p>
    <w:p>
      <w:pPr>
        <w:pStyle w:val="Style36"/>
        <w:keepNext/>
        <w:keepLines/>
        <w:widowControl w:val="0"/>
        <w:shd w:val="clear" w:color="auto" w:fill="auto"/>
        <w:bidi w:val="0"/>
        <w:spacing w:before="0" w:after="220" w:line="271" w:lineRule="auto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  <w:shd w:val="clear" w:color="auto" w:fill="auto"/>
          <w:lang w:val="ru-RU" w:eastAsia="ru-RU" w:bidi="ru-RU"/>
        </w:rPr>
        <w:t>Глава 6</w:t>
      </w:r>
    </w:p>
    <w:p>
      <w:pPr>
        <w:pStyle w:val="Style39"/>
        <w:keepNext/>
        <w:keepLines/>
        <w:widowControl w:val="0"/>
        <w:shd w:val="clear" w:color="auto" w:fill="auto"/>
        <w:bidi w:val="0"/>
        <w:spacing w:before="0" w:after="700" w:line="271" w:lineRule="auto"/>
        <w:ind w:left="0" w:right="0" w:firstLine="0"/>
        <w:jc w:val="center"/>
      </w:pPr>
      <w:bookmarkStart w:id="92" w:name="bookmark92"/>
      <w:bookmarkStart w:id="93" w:name="bookmark93"/>
      <w:r>
        <w:rPr>
          <w:spacing w:val="0"/>
          <w:w w:val="100"/>
          <w:position w:val="0"/>
          <w:sz w:val="24"/>
          <w:szCs w:val="24"/>
          <w:shd w:val="clear" w:color="auto" w:fill="auto"/>
          <w:lang w:val="ru-RU" w:eastAsia="ru-RU" w:bidi="ru-RU"/>
        </w:rPr>
        <w:t>КОМБИНИРОВАННЫЕ И СОЧЕТАННЫЕ</w:t>
        <w:br/>
        <w:t>РАДИАЦИОННЫЕ ПОРАЖЕНИЯ</w:t>
      </w:r>
      <w:bookmarkEnd w:id="93"/>
      <w:bookmarkEnd w:id="92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00" w:line="228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Учебные вопросы</w:t>
      </w:r>
    </w:p>
    <w:p>
      <w:pPr>
        <w:pStyle w:val="Style34"/>
        <w:keepNext w:val="0"/>
        <w:keepLines w:val="0"/>
        <w:widowControl w:val="0"/>
        <w:numPr>
          <w:ilvl w:val="0"/>
          <w:numId w:val="99"/>
        </w:numPr>
        <w:shd w:val="clear" w:color="auto" w:fill="auto"/>
        <w:tabs>
          <w:tab w:pos="279" w:val="left"/>
        </w:tabs>
        <w:bidi w:val="0"/>
        <w:spacing w:before="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Комбинированные радиационные поражения (КРП). Этиоло</w:t>
        <w:softHyphen/>
        <w:t>гические факторы, классификация и общая характеристика КРП.</w:t>
      </w:r>
    </w:p>
    <w:p>
      <w:pPr>
        <w:pStyle w:val="Style34"/>
        <w:keepNext w:val="0"/>
        <w:keepLines w:val="0"/>
        <w:widowControl w:val="0"/>
        <w:numPr>
          <w:ilvl w:val="0"/>
          <w:numId w:val="99"/>
        </w:numPr>
        <w:shd w:val="clear" w:color="auto" w:fill="auto"/>
        <w:tabs>
          <w:tab w:pos="289" w:val="left"/>
        </w:tabs>
        <w:bidi w:val="0"/>
        <w:spacing w:before="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Периоды клинического течения КРП: острый (первичные ре</w:t>
        <w:softHyphen/>
        <w:t>акции на лучевые и нелучевые травмы), преобладания нелуче</w:t>
        <w:softHyphen/>
        <w:t>вых компонентов, преобладания лучевого компонента, вос</w:t>
        <w:softHyphen/>
        <w:t>становительный. Степени тяжести КРП. Значение синдрома взаимного отягощения в патогенезе КРП.</w:t>
      </w:r>
    </w:p>
    <w:p>
      <w:pPr>
        <w:pStyle w:val="Style34"/>
        <w:keepNext w:val="0"/>
        <w:keepLines w:val="0"/>
        <w:widowControl w:val="0"/>
        <w:numPr>
          <w:ilvl w:val="0"/>
          <w:numId w:val="99"/>
        </w:numPr>
        <w:shd w:val="clear" w:color="auto" w:fill="auto"/>
        <w:tabs>
          <w:tab w:pos="289" w:val="left"/>
        </w:tabs>
        <w:bidi w:val="0"/>
        <w:spacing w:before="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Принципы лечения комбинированных радиационных пора</w:t>
        <w:softHyphen/>
        <w:t>жений.</w:t>
      </w:r>
    </w:p>
    <w:p>
      <w:pPr>
        <w:pStyle w:val="Style34"/>
        <w:keepNext w:val="0"/>
        <w:keepLines w:val="0"/>
        <w:widowControl w:val="0"/>
        <w:numPr>
          <w:ilvl w:val="0"/>
          <w:numId w:val="99"/>
        </w:numPr>
        <w:shd w:val="clear" w:color="auto" w:fill="auto"/>
        <w:tabs>
          <w:tab w:pos="294" w:val="left"/>
        </w:tabs>
        <w:bidi w:val="0"/>
        <w:spacing w:before="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Сочетанные радиационные поражения. Классификация, об</w:t>
        <w:softHyphen/>
        <w:t>щая характеристика. Патогенез и основные клинические про</w:t>
        <w:softHyphen/>
        <w:t>явления. Принципы лечения сочетанных радиационных по</w:t>
        <w:softHyphen/>
        <w:t>ражений.</w:t>
      </w:r>
    </w:p>
    <w:p>
      <w:pPr>
        <w:pStyle w:val="Style34"/>
        <w:keepNext w:val="0"/>
        <w:keepLines w:val="0"/>
        <w:widowControl w:val="0"/>
        <w:numPr>
          <w:ilvl w:val="0"/>
          <w:numId w:val="99"/>
        </w:numPr>
        <w:shd w:val="clear" w:color="auto" w:fill="auto"/>
        <w:tabs>
          <w:tab w:pos="284" w:val="left"/>
        </w:tabs>
        <w:bidi w:val="0"/>
        <w:spacing w:before="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Хроническая лучевая болезнь. Особенности патогенеза. Основ</w:t>
        <w:softHyphen/>
        <w:t>ные клинические проявления. Принципы профилактики и лечения.</w:t>
      </w:r>
    </w:p>
    <w:p>
      <w:pPr>
        <w:pStyle w:val="Style34"/>
        <w:keepNext w:val="0"/>
        <w:keepLines w:val="0"/>
        <w:widowControl w:val="0"/>
        <w:numPr>
          <w:ilvl w:val="0"/>
          <w:numId w:val="99"/>
        </w:numPr>
        <w:shd w:val="clear" w:color="auto" w:fill="auto"/>
        <w:tabs>
          <w:tab w:pos="289" w:val="left"/>
        </w:tabs>
        <w:bidi w:val="0"/>
        <w:spacing w:before="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Биологические эффекты малых доз облучения. Диапазон ма</w:t>
        <w:softHyphen/>
        <w:t>лых доз. Концепция беспорогового действия радиации и ее применимость к оценке биологических эффектов малых доз. Понятие о радиационном гормезисе. Проблема защиты орга</w:t>
        <w:softHyphen/>
        <w:t>низма от малых доз облучения.</w:t>
      </w:r>
    </w:p>
    <w:p>
      <w:pPr>
        <w:pStyle w:val="Style34"/>
        <w:keepNext w:val="0"/>
        <w:keepLines w:val="0"/>
        <w:widowControl w:val="0"/>
        <w:numPr>
          <w:ilvl w:val="0"/>
          <w:numId w:val="99"/>
        </w:numPr>
        <w:shd w:val="clear" w:color="auto" w:fill="auto"/>
        <w:tabs>
          <w:tab w:pos="289" w:val="left"/>
        </w:tabs>
        <w:bidi w:val="0"/>
        <w:spacing w:before="0" w:after="0" w:line="228" w:lineRule="auto"/>
        <w:ind w:left="240" w:right="0" w:hanging="24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539" w:h="12433"/>
          <w:pgMar w:top="1152" w:right="691" w:bottom="1152" w:left="160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Отдаленные последствия облучения. Неопухолевые отдален</w:t>
        <w:softHyphen/>
        <w:t>ные последствия облучения: радиационная катаракта, склеро</w:t>
        <w:softHyphen/>
        <w:t>тические и дистрофические процессы, расстройства трофики, нейроэндокринной регуляции, снижение плодовитости, на</w:t>
        <w:softHyphen/>
        <w:t>рушение эмбрионального развития и др. Канцерогенные эффекты облучения: возникновение лейкозов и злокачест</w:t>
        <w:softHyphen/>
        <w:t>венных новообразований. Сокращение продолжительности жизни. Возможные механизмы формирования отдаленных последствий облучения.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Базисные знания</w:t>
      </w:r>
    </w:p>
    <w:p>
      <w:pPr>
        <w:pStyle w:val="Style34"/>
        <w:keepNext w:val="0"/>
        <w:keepLines w:val="0"/>
        <w:widowControl w:val="0"/>
        <w:numPr>
          <w:ilvl w:val="0"/>
          <w:numId w:val="101"/>
        </w:numPr>
        <w:shd w:val="clear" w:color="auto" w:fill="auto"/>
        <w:tabs>
          <w:tab w:pos="279" w:val="left"/>
        </w:tabs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Поражающие факторы ядерных взрывов.</w:t>
      </w:r>
    </w:p>
    <w:p>
      <w:pPr>
        <w:pStyle w:val="Style34"/>
        <w:keepNext w:val="0"/>
        <w:keepLines w:val="0"/>
        <w:widowControl w:val="0"/>
        <w:numPr>
          <w:ilvl w:val="0"/>
          <w:numId w:val="101"/>
        </w:numPr>
        <w:shd w:val="clear" w:color="auto" w:fill="auto"/>
        <w:tabs>
          <w:tab w:pos="289" w:val="left"/>
        </w:tabs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Виды радиационных аварий, их поражающие факторы.</w:t>
      </w:r>
    </w:p>
    <w:p>
      <w:pPr>
        <w:pStyle w:val="Style34"/>
        <w:keepNext w:val="0"/>
        <w:keepLines w:val="0"/>
        <w:widowControl w:val="0"/>
        <w:numPr>
          <w:ilvl w:val="0"/>
          <w:numId w:val="101"/>
        </w:numPr>
        <w:shd w:val="clear" w:color="auto" w:fill="auto"/>
        <w:tabs>
          <w:tab w:pos="289" w:val="left"/>
        </w:tabs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Классификация радиационных поражений.</w:t>
      </w:r>
    </w:p>
    <w:p>
      <w:pPr>
        <w:pStyle w:val="Style34"/>
        <w:keepNext w:val="0"/>
        <w:keepLines w:val="0"/>
        <w:widowControl w:val="0"/>
        <w:numPr>
          <w:ilvl w:val="0"/>
          <w:numId w:val="101"/>
        </w:numPr>
        <w:shd w:val="clear" w:color="auto" w:fill="auto"/>
        <w:tabs>
          <w:tab w:pos="289" w:val="left"/>
        </w:tabs>
        <w:bidi w:val="0"/>
        <w:spacing w:before="0" w:after="0" w:line="230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Общая характеристика лучевых поражений от внешнего облу</w:t>
        <w:softHyphen/>
        <w:t>чения, от инкорпорации радионуклидов, от наружного радио</w:t>
        <w:softHyphen/>
        <w:t>активного заражения.</w:t>
      </w:r>
    </w:p>
    <w:p>
      <w:pPr>
        <w:pStyle w:val="Style34"/>
        <w:keepNext w:val="0"/>
        <w:keepLines w:val="0"/>
        <w:widowControl w:val="0"/>
        <w:numPr>
          <w:ilvl w:val="0"/>
          <w:numId w:val="101"/>
        </w:numPr>
        <w:shd w:val="clear" w:color="auto" w:fill="auto"/>
        <w:tabs>
          <w:tab w:pos="289" w:val="left"/>
        </w:tabs>
        <w:bidi w:val="0"/>
        <w:spacing w:before="0" w:after="500" w:line="233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Принципы лечения ранений, травм, ожогов, радиационных поражений.</w:t>
      </w:r>
    </w:p>
    <w:p>
      <w:pPr>
        <w:pStyle w:val="Style44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400"/>
        <w:jc w:val="both"/>
      </w:pPr>
      <w:bookmarkStart w:id="95" w:name="bookmark95"/>
      <w:bookmarkStart w:id="96" w:name="bookmark96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6.1. КОМБИНИРОВАННЫЕ РАДИАЦИОННЫЕ ПОРАЖЕНИЯ</w:t>
      </w:r>
      <w:bookmarkEnd w:id="96"/>
      <w:bookmarkEnd w:id="95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Комбинированные радиационные поражения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являются наиболее вероятными формами патологии, формирующейся у пострадав</w:t>
        <w:softHyphen/>
        <w:t>ших при применении ядерного оружия, при радиационных ава</w:t>
        <w:softHyphen/>
        <w:t>риях и катастрофах.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Комбинированные радиационные поражения (КРП) возни</w:t>
        <w:softHyphen/>
        <w:t>кают при одновременном или последовательном воздействии на организм ионизирующих излучений и поражающих факторов нелучевой этиологии. КРП могут являться результатом ядерного взрыва (составляя 50—70% санитарных потерь), быть следствием техногенных катастроф и террористических актов на объектах ядерной энергетики. Наиболее типичными являются КРП от одновременного воздействия поражающих факторов ядерного взрыва — комбинации острых лучевых поражений с ожогами и механическими травмами.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случае неодновременного воздействия поражающих факто</w:t>
        <w:softHyphen/>
        <w:t>ров комбинированными будут являться только те поражения, при которых время между действием лучевых и нелучевых пора</w:t>
        <w:softHyphen/>
        <w:t>жающих факторов не превышает длительности течения первого поражения, иначе это будут уже независимые друг от друга по</w:t>
        <w:softHyphen/>
        <w:t>следовательные поражения.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  <w:sectPr>
          <w:headerReference w:type="default" r:id="rId416"/>
          <w:footerReference w:type="default" r:id="rId417"/>
          <w:headerReference w:type="even" r:id="rId418"/>
          <w:footerReference w:type="even" r:id="rId419"/>
          <w:footnotePr>
            <w:pos w:val="pageBottom"/>
            <w:numFmt w:val="chicago"/>
            <w:numRestart w:val="continuous"/>
            <w15:footnoteColumns w:val="1"/>
          </w:footnotePr>
          <w:pgSz w:w="8539" w:h="12433"/>
          <w:pgMar w:top="1174" w:right="1032" w:bottom="1065" w:left="1219" w:header="746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зависимости от сочетания действующих факторов КРП подразделяются на радиационно-механические, радиационно</w:t>
        <w:softHyphen/>
        <w:t>термические, радиационно-механо-термические и т. п. Степень тяжести КРП и, соответственно, прогноз для жизни и здоровья пострадавших зависит от вида и тяжести компонентов пораже</w:t>
        <w:softHyphen/>
        <w:t>ния (табл. 19).</w:t>
      </w:r>
    </w:p>
    <w:p>
      <w:pPr>
        <w:widowControl w:val="0"/>
        <w:spacing w:line="1" w:lineRule="exact"/>
      </w:pPr>
      <w:r>
        <mc:AlternateContent>
          <mc:Choice Requires="wps">
            <w:drawing>
              <wp:anchor distT="0" distB="0" distL="88900" distR="88900" simplePos="0" relativeHeight="125829435" behindDoc="0" locked="0" layoutInCell="1" allowOverlap="1">
                <wp:simplePos x="0" y="0"/>
                <wp:positionH relativeFrom="page">
                  <wp:posOffset>495300</wp:posOffset>
                </wp:positionH>
                <wp:positionV relativeFrom="paragraph">
                  <wp:posOffset>12700</wp:posOffset>
                </wp:positionV>
                <wp:extent cx="128270" cy="234950"/>
                <wp:wrapSquare wrapText="bothSides"/>
                <wp:docPr id="491" name="Shape 491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28270" cy="23495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0"/>
                                <w:w w:val="100"/>
                                <w:position w:val="0"/>
                                <w:sz w:val="30"/>
                                <w:szCs w:val="30"/>
                                <w:shd w:val="clear" w:color="auto" w:fill="auto"/>
                                <w:lang w:val="ru-RU" w:eastAsia="ru-RU" w:bidi="ru-RU"/>
                              </w:rPr>
                              <w:t>\|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517" type="#_x0000_t202" style="position:absolute;margin-left:39.pt;margin-top:1.pt;width:10.1pt;height:18.5pt;z-index:-125829318;mso-wrap-distance-left:7.pt;mso-wrap-distance-right:7.pt;mso-position-horizontal-relative:page" filled="f" stroked="f">
                <v:textbox inset="0,0,0,0">
                  <w:txbxContent>
                    <w:p>
                      <w:pPr>
                        <w:pStyle w:val="Style57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ascii="Arial" w:eastAsia="Arial" w:hAnsi="Arial" w:cs="Arial"/>
                          <w:spacing w:val="0"/>
                          <w:w w:val="100"/>
                          <w:position w:val="0"/>
                          <w:sz w:val="30"/>
                          <w:szCs w:val="30"/>
                          <w:shd w:val="clear" w:color="auto" w:fill="auto"/>
                          <w:lang w:val="ru-RU" w:eastAsia="ru-RU" w:bidi="ru-RU"/>
                        </w:rPr>
                        <w:t>\|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center"/>
        <w:rPr>
          <w:sz w:val="18"/>
          <w:szCs w:val="18"/>
        </w:rPr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>Зависимость степени тяжести и прогноза исходов комбинированных радиационных поражений</w:t>
        <w:br/>
        <w:t>от тяжести компонентов поражения</w:t>
      </w:r>
    </w:p>
    <w:tbl>
      <w:tblPr>
        <w:tblOverlap w:val="never"/>
        <w:jc w:val="center"/>
        <w:tblLayout w:type="fixed"/>
      </w:tblPr>
      <w:tblGrid>
        <w:gridCol w:w="864"/>
        <w:gridCol w:w="2822"/>
        <w:gridCol w:w="3950"/>
        <w:gridCol w:w="2338"/>
      </w:tblGrid>
      <w:tr>
        <w:trPr>
          <w:trHeight w:val="317" w:hRule="exact"/>
        </w:trPr>
        <w:tc>
          <w:tcPr>
            <w:vMerge w:val="restart"/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54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Степень тяжести</w:t>
            </w:r>
          </w:p>
        </w:tc>
        <w:tc>
          <w:tcPr>
            <w:gridSpan w:val="2"/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Виды комбинированных радиационных поражений</w:t>
            </w:r>
          </w:p>
        </w:tc>
        <w:tc>
          <w:tcPr>
            <w:vMerge w:val="restart"/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Прогноз исходов и длительность лечения</w:t>
            </w:r>
          </w:p>
        </w:tc>
      </w:tr>
      <w:tr>
        <w:trPr>
          <w:trHeight w:val="658" w:hRule="exact"/>
        </w:trPr>
        <w:tc>
          <w:tcPr>
            <w:vMerge/>
            <w:tcBorders/>
            <w:shd w:val="clear" w:color="auto" w:fill="auto"/>
            <w:vAlign w:val="center"/>
          </w:tcPr>
          <w:p>
            <w:pPr/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52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двухфакторные (радиационно-механические, радиационно-термические)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2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трехфакторные (радиационно-механо-термические)</w:t>
            </w:r>
          </w:p>
        </w:tc>
        <w:tc>
          <w:tcPr>
            <w:vMerge/>
            <w:tcBorders>
              <w:left w:val="single" w:sz="4"/>
            </w:tcBorders>
            <w:shd w:val="clear" w:color="auto" w:fill="auto"/>
            <w:vAlign w:val="center"/>
          </w:tcPr>
          <w:p>
            <w:pPr/>
          </w:p>
        </w:tc>
      </w:tr>
      <w:tr>
        <w:trPr>
          <w:trHeight w:val="926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I (легкая)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9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Легкие механические травмы с облучением в дозах 1-2 Гр; ожоги легкой степени тяжести с облучением в дозах 1,0-1,5 Гр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2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Легкие механические травмы и ожоги с облучением в дозах менее 1 Гр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Прогноз для жизни и здоровья благоприятный</w:t>
            </w:r>
          </w:p>
        </w:tc>
      </w:tr>
      <w:tr>
        <w:trPr>
          <w:trHeight w:val="2448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II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(средняя)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60" w:line="262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Легкие механические травмы с облучением в дозах 2-3 Гр;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60" w:line="262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механические травмы средней тяжести с облучением в дозах до 2 Гр;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60" w:line="295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ожоги легкой степени тяжести с облучением в дозах 1,5-2,5 Гр; ожоги средней степени тяжести с облучением в дозах не более 2 Гр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60" w:line="262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Легкие механические и термические травмы с облучением в дозах 1-2 Гр;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механические травмы средней степени тяжести и легкие ожоги с облучением в дозах 0,5-1,5 Гр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4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Прогноз для жизни и здоровья зависит от своевременности и эффективности медицинской помощи; большинству пораженных требуется специализированная хирургическая и терапевтическая медицинская помощь; продолжительность лечения до 4 месяцев</w:t>
            </w:r>
          </w:p>
        </w:tc>
      </w:tr>
    </w:tbl>
    <w:p>
      <w:pPr>
        <w:widowControl w:val="0"/>
        <w:spacing w:after="2459" w:line="1" w:lineRule="exact"/>
      </w:pPr>
    </w:p>
    <w:p>
      <w:pPr>
        <w:widowControl w:val="0"/>
        <w:spacing w:line="1" w:lineRule="exact"/>
      </w:pPr>
    </w:p>
    <w:tbl>
      <w:tblPr>
        <w:tblOverlap w:val="never"/>
        <w:jc w:val="center"/>
        <w:tblLayout w:type="fixed"/>
      </w:tblPr>
      <w:tblGrid>
        <w:gridCol w:w="864"/>
        <w:gridCol w:w="2827"/>
        <w:gridCol w:w="3946"/>
        <w:gridCol w:w="2323"/>
      </w:tblGrid>
      <w:tr>
        <w:trPr>
          <w:trHeight w:val="2486" w:hRule="exact"/>
        </w:trPr>
        <w:tc>
          <w:tcPr>
            <w:tcBorders/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en-US" w:eastAsia="en-US" w:bidi="en-US"/>
              </w:rPr>
              <w:t>III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(тяжелая)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8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Легкие механические травмы с облучением в дозах 3-5 Гр; механические травмы средней степени тяжести с облучением в дозах 2,5-5 Гр;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62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ожоги средней степени тяжести с облучением в дозах 1,5-4 Гр;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62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тяжелые механические травмы с облучением в дозах до 3,5 Гр;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7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тяжелые ожоги с облучением в дозах до 2,5 Гр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Легкие механические травмы и легкие ожоги с облучением в дозах 2-3 Гр;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механические травмы средней степени тяжести и легкие ожоги с облучением в дозах 1,5-2,5 Гр;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7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ожоги средней степени тяжести и легкие механические травмы с облучением в дозах 1-2 Гр;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механические травмы и ожоги средней степени тяжести с облучением в дозах 0,5-1,5 Гр;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7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тяжелые механические травмы и легкие ожоги с облучением в дозах 0,5-1,5 Гр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4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Прогноз для жизни и здоровья сомнительный, выздоровление возможно только при своевременном оказании специализированной медицинской помощи; продолжительность лечения до 6 месяцев</w:t>
            </w:r>
          </w:p>
        </w:tc>
      </w:tr>
      <w:tr>
        <w:trPr>
          <w:trHeight w:val="3451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4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IV (крайне тяжелая)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8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Легкие механические травмы с облучением в дозах более 5,5 Гр; механические травмы средней степени тяжести с облучением в дозах более 4,5 Гр;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62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тяжелые механические травмы с облучением в дозах более 3,5 Гр;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7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легкие ожоги с облучением в дозах более 5 Гр;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ожоги средней степени тяжести с облучением в дозах более 4 Гр;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7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тяжелые ожоги с облучением в дозах более 3 Гр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7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Легкие термические и механические травмы с облучением в дозах более 3 Гр;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7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средней степени тяжести механические и легкие термические поражения с облучением в дозах более 2 Гр;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средней степени тяжести механические и термические поражения, а также тяжелые механические и легкие термические поражения с облучением в дозах более 1,5 Гр;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71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тяжелые механические и средней степени тяжести термические, а также тяжелые термические и легкие механические поражения с облучением в дозах более 1 Гр;</w:t>
            </w:r>
          </w:p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71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тяжелые термические и средней или тяжелой степени механические поражения с облучением в дозах более 0,5 Гр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Прогноз неблагоприятный при всех современных методах лечения, показана симптоматическая терапия</w:t>
            </w:r>
          </w:p>
        </w:tc>
      </w:tr>
    </w:tbl>
    <w:p>
      <w:pPr>
        <w:sectPr>
          <w:headerReference w:type="default" r:id="rId420"/>
          <w:footerReference w:type="default" r:id="rId421"/>
          <w:headerReference w:type="even" r:id="rId422"/>
          <w:footerReference w:type="even" r:id="rId423"/>
          <w:footnotePr>
            <w:pos w:val="pageBottom"/>
            <w:numFmt w:val="chicago"/>
            <w:numRestart w:val="continuous"/>
            <w15:footnoteColumns w:val="1"/>
          </w:footnotePr>
          <w:pgSz w:w="12240" w:h="15840"/>
          <w:pgMar w:top="1829" w:right="1020" w:bottom="394" w:left="1221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99" w:lineRule="exact"/>
        <w:rPr>
          <w:sz w:val="8"/>
          <w:szCs w:val="8"/>
        </w:rPr>
      </w:pPr>
    </w:p>
    <w:p>
      <w:pPr>
        <w:widowControl w:val="0"/>
        <w:spacing w:line="1" w:lineRule="exact"/>
        <w:sectPr>
          <w:footnotePr>
            <w:pos w:val="pageBottom"/>
            <w:numFmt w:val="chicago"/>
            <w:numRestart w:val="continuous"/>
            <w15:footnoteColumns w:val="1"/>
          </w:footnotePr>
          <w:type w:val="continuous"/>
          <w:pgSz w:w="12240" w:h="15840"/>
          <w:pgMar w:top="1929" w:right="0" w:bottom="394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8"/>
        <w:keepNext w:val="0"/>
        <w:keepLines w:val="0"/>
        <w:framePr w:w="211" w:h="240" w:wrap="none" w:vAnchor="text" w:hAnchor="page" w:x="757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9"/>
          <w:szCs w:val="19"/>
        </w:rPr>
      </w:pPr>
      <w:r>
        <w:rPr>
          <w:spacing w:val="0"/>
          <w:w w:val="100"/>
          <w:position w:val="0"/>
          <w:sz w:val="19"/>
          <w:szCs w:val="19"/>
          <w:shd w:val="clear" w:color="auto" w:fill="auto"/>
          <w:lang w:val="ru-RU" w:eastAsia="ru-RU" w:bidi="ru-RU"/>
        </w:rPr>
        <w:t>(Л</w:t>
      </w:r>
    </w:p>
    <w:p>
      <w:pPr>
        <w:widowControl w:val="0"/>
        <w:spacing w:after="239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chicago"/>
            <w:numRestart w:val="continuous"/>
            <w15:footnoteColumns w:val="1"/>
          </w:footnotePr>
          <w:type w:val="continuous"/>
          <w:pgSz w:w="12240" w:h="15840"/>
          <w:pgMar w:top="1929" w:right="1020" w:bottom="394" w:left="756" w:header="0" w:footer="3" w:gutter="0"/>
          <w:cols w:space="720"/>
          <w:noEndnote/>
          <w:rtlGutter w:val="0"/>
          <w:docGrid w:linePitch="360"/>
        </w:sectPr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Наиболее характерная особенность КРП — наличие у по</w:t>
        <w:softHyphen/>
        <w:t>страдавшего признаков двух или более патологий. Поскольку ранние (симптомы первичной реакции на облучение) или позд</w:t>
        <w:softHyphen/>
        <w:t>ние (признаки разгара ОЛБ) клинические проявления радиаци</w:t>
        <w:softHyphen/>
        <w:t>онной патологии сочетаются у одного и того же пораженного с местными и общими симптомами ожога, раны, перелома и дру</w:t>
        <w:softHyphen/>
        <w:t>гими, формируется своеобразная пестрая клиническая картина радиационных и травматических симптомов (синдромов).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Вторая характерная особенность КРП — преобладание одно</w:t>
        <w:softHyphen/>
        <w:t>го, более тяжелого и выраженного в конкретный момент патоло</w:t>
        <w:softHyphen/>
        <w:t>гического процесса, так называемого ведущего компонента. По мере развития процесса вид и значение ведущего компонента могут меняться.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Наконец, третья характерная особенность КРП — взаимо</w:t>
        <w:softHyphen/>
        <w:t>влияние (взаимное отягощение) его нелучевых и лучевых компо</w:t>
        <w:softHyphen/>
        <w:t>нентов, проявляющееся в виде более тяжелого течения патоло</w:t>
        <w:softHyphen/>
        <w:t>гического процесса, чем это свойственно каждому компоненту в отдельности. В результате летальность при КРП оказывается выше, чем при каждой из составляющих его травм, и превосхо</w:t>
        <w:softHyphen/>
        <w:t>дит их суммарный эффект.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Следует отметить, что даже изолированное воздействие од</w:t>
        <w:softHyphen/>
        <w:t>ного из компонентов КРП, вызвавшее острую лучевую болезнь, обширные или глубокие ожоги, тяжелую механическую травму, нередко приводит к летальному исходу. Это связано с отсутстви</w:t>
        <w:softHyphen/>
        <w:t>ем эволюционно выработанных механизмов, способных привес</w:t>
        <w:softHyphen/>
        <w:t>ти к выздоровлению при тяжелом ожоге или механическом по</w:t>
        <w:softHyphen/>
        <w:t>вреждении, в результате чего развивающиеся компенсаторно</w:t>
        <w:softHyphen/>
        <w:t>приспособительные процессы отличаются неустойчивостью и заведомой неэффективностью. Сочетание нескольких поражаю</w:t>
        <w:softHyphen/>
        <w:t>щих факторов приводит к возникновению качественно нового состояния, характеризующегося не просто суммированием по</w:t>
        <w:softHyphen/>
        <w:t xml:space="preserve">вреждений, а развитием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синдрома взаимного отягощения.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  <w:sectPr>
          <w:headerReference w:type="default" r:id="rId424"/>
          <w:footerReference w:type="default" r:id="rId425"/>
          <w:headerReference w:type="even" r:id="rId426"/>
          <w:footerReference w:type="even" r:id="rId427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03" w:right="555" w:bottom="846" w:left="1582" w:header="475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Причина его развития состоит в том, что адаптационные процессы при ожоговой и травматической болезни требуют вы</w:t>
        <w:softHyphen/>
        <w:t>сокой функциональной активности органов и систем, в значите</w:t>
        <w:softHyphen/>
        <w:t>льной мере страдающих от воздействия радиации. Основной па</w:t>
        <w:softHyphen/>
        <w:t>тогенетический механизм синдрома взаимного отягощения — ограничение или утрата способности организма противостоять инфекции, а также различным токсичным субстратам гистио- генного и бактериального происхождения. Важную роль в пато</w:t>
        <w:softHyphen/>
        <w:t>генезе синдрома взаимного отягощения играют также генерали-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зованные нарушения метаболизма, приводящие к нарушению энергообеспечения клеток и недостаточности ряда органов и си</w:t>
        <w:softHyphen/>
        <w:t>стем (надпочечниковой, тиреоидной, почечной, печеночной).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Следует отметить, что синдром взаимного отягощения разви</w:t>
        <w:softHyphen/>
        <w:t>вается лишь тогда, когда сочетаются компоненты КРП не ниже средней степени тяжести. Имеет значение и очередность различ</w:t>
        <w:softHyphen/>
        <w:t>ных поражающих воздействий, если они произошли не одновре</w:t>
        <w:softHyphen/>
        <w:t>менно. Так, если нелучевое повреждение пришлось на период разгара ОЛБ, синдром взаимного отягощения отличается макси</w:t>
        <w:softHyphen/>
        <w:t>мальной выраженностью. При нанесении механической травмы или ожога в период выздоровления от ОЛБ в большинстве слу</w:t>
        <w:softHyphen/>
        <w:t>чаев синдром взаимного отягощения не возникает. В случае если нетяжелая механическая травма предшествует лучевому пораже</w:t>
        <w:softHyphen/>
        <w:t>нию, нередко отмечается более легкое течение ОЛБ и уменьшение показателей летальности. Этот интересный патофизиологический феномен объясняется тем, что предварительно нанесенная лег</w:t>
        <w:softHyphen/>
        <w:t>кая травма повышает устойчивость организма к радиационному воздействию за счет более ранней активации неспецифических адаптационных механизмов.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случае развития синдрома взаимного отягощения большей тяжестью отличается клиническое течение каждого из компо</w:t>
        <w:softHyphen/>
        <w:t>нентов КРП. По сравнению с «чистыми» радиационными пора</w:t>
        <w:softHyphen/>
        <w:t>жениями течение КРП отличается отсутствием скрытого перио</w:t>
        <w:softHyphen/>
        <w:t>да (он «заполнен» клинической картиной нелучевых компонен</w:t>
        <w:softHyphen/>
        <w:t>тов), раньше наступает и более тяжело протекает период разгара, в случае выздоровления дольше длится восстановительный пе</w:t>
        <w:softHyphen/>
        <w:t>риод. Доза облучения, при которой можно рассчитывать на бла</w:t>
        <w:softHyphen/>
        <w:t>гоприятный исход, снижается в 1,5—2 раза. С другой стороны, для травматической и ожоговой болезни при КРП характерно более тяжелое клиническое течение, увеличение зон некроза ран, замедление репаративных процессов, закономерное разви</w:t>
        <w:softHyphen/>
        <w:t>тие раневой инфекции и частая ее генерализация.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 основным клиническим проявлениям синдрома взаимного отягощения относятся:</w:t>
      </w:r>
    </w:p>
    <w:p>
      <w:pPr>
        <w:pStyle w:val="Style34"/>
        <w:keepNext w:val="0"/>
        <w:keepLines w:val="0"/>
        <w:widowControl w:val="0"/>
        <w:numPr>
          <w:ilvl w:val="0"/>
          <w:numId w:val="103"/>
        </w:numPr>
        <w:shd w:val="clear" w:color="auto" w:fill="auto"/>
        <w:tabs>
          <w:tab w:pos="562" w:val="left"/>
        </w:tabs>
        <w:bidi w:val="0"/>
        <w:spacing w:before="0" w:after="0" w:line="230" w:lineRule="auto"/>
        <w:ind w:left="520" w:right="0" w:hanging="18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более частое возникновение и более тяжелое течение ожо</w:t>
        <w:softHyphen/>
        <w:t>гового и (или) травматического шока, осложнений постшо</w:t>
        <w:softHyphen/>
        <w:t>кового периода;</w:t>
      </w:r>
    </w:p>
    <w:p>
      <w:pPr>
        <w:pStyle w:val="Style34"/>
        <w:keepNext w:val="0"/>
        <w:keepLines w:val="0"/>
        <w:widowControl w:val="0"/>
        <w:numPr>
          <w:ilvl w:val="0"/>
          <w:numId w:val="103"/>
        </w:numPr>
        <w:shd w:val="clear" w:color="auto" w:fill="auto"/>
        <w:tabs>
          <w:tab w:pos="566" w:val="left"/>
        </w:tabs>
        <w:bidi w:val="0"/>
        <w:spacing w:before="0" w:after="0" w:line="228" w:lineRule="auto"/>
        <w:ind w:left="520" w:right="0" w:hanging="180"/>
        <w:jc w:val="both"/>
        <w:sectPr>
          <w:headerReference w:type="default" r:id="rId428"/>
          <w:footerReference w:type="default" r:id="rId429"/>
          <w:headerReference w:type="even" r:id="rId430"/>
          <w:footerReference w:type="even" r:id="rId431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05" w:right="824" w:bottom="822" w:left="1294" w:header="377" w:footer="3" w:gutter="0"/>
          <w:pgNumType w:start="177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более раннее развитие и более тяжелое течение основных синдромов периода разгара ОЛБ — панцитопенического, инфекционного, геморрагического;</w:t>
      </w:r>
    </w:p>
    <w:p>
      <w:pPr>
        <w:pStyle w:val="Style34"/>
        <w:keepNext w:val="0"/>
        <w:keepLines w:val="0"/>
        <w:widowControl w:val="0"/>
        <w:numPr>
          <w:ilvl w:val="0"/>
          <w:numId w:val="103"/>
        </w:numPr>
        <w:shd w:val="clear" w:color="auto" w:fill="auto"/>
        <w:tabs>
          <w:tab w:pos="562" w:val="left"/>
        </w:tabs>
        <w:bidi w:val="0"/>
        <w:spacing w:before="0" w:after="0" w:line="226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увеличение частоты инфекционных осложнений, повы</w:t>
        <w:softHyphen/>
        <w:t>шенная склонность к генерализации инфекции, развитию сепсиса;</w:t>
      </w:r>
    </w:p>
    <w:p>
      <w:pPr>
        <w:pStyle w:val="Style34"/>
        <w:keepNext w:val="0"/>
        <w:keepLines w:val="0"/>
        <w:widowControl w:val="0"/>
        <w:numPr>
          <w:ilvl w:val="0"/>
          <w:numId w:val="103"/>
        </w:numPr>
        <w:shd w:val="clear" w:color="auto" w:fill="auto"/>
        <w:tabs>
          <w:tab w:pos="562" w:val="left"/>
        </w:tabs>
        <w:bidi w:val="0"/>
        <w:spacing w:before="0" w:after="0" w:line="223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замедленное течение процессов регенерации поврежден</w:t>
        <w:softHyphen/>
        <w:t>ных органов и тканей.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Несмотря на пестроту клинической картины КРП, обуслов</w:t>
        <w:softHyphen/>
        <w:t>ленную наличием проявлений сразу нескольких патологических процессов, как правило, удается выделить преобладающий в каждый конкретный момент ведущий компонент, определяю</w:t>
        <w:softHyphen/>
        <w:t>щий в основном тяжесть состояния пострадавшего. С течением времени отмечается закономерная динамика клинической кар</w:t>
        <w:softHyphen/>
        <w:t>тины, сопровождающаяся сменой ведущего компонента. В связи с этим выделяют четыре периода клинического течения КРП.</w:t>
      </w:r>
    </w:p>
    <w:p>
      <w:pPr>
        <w:pStyle w:val="Style34"/>
        <w:keepNext w:val="0"/>
        <w:keepLines w:val="0"/>
        <w:widowControl w:val="0"/>
        <w:numPr>
          <w:ilvl w:val="0"/>
          <w:numId w:val="105"/>
        </w:numPr>
        <w:shd w:val="clear" w:color="auto" w:fill="auto"/>
        <w:tabs>
          <w:tab w:pos="625" w:val="left"/>
        </w:tabs>
        <w:bidi w:val="0"/>
        <w:spacing w:before="0" w:after="0" w:line="233" w:lineRule="auto"/>
        <w:ind w:left="0" w:right="0"/>
        <w:jc w:val="both"/>
        <w:sectPr>
          <w:headerReference w:type="default" r:id="rId432"/>
          <w:footerReference w:type="default" r:id="rId433"/>
          <w:headerReference w:type="even" r:id="rId434"/>
          <w:footerReference w:type="even" r:id="rId435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37" w:right="510" w:bottom="837" w:left="1635" w:header="409" w:footer="3" w:gutter="0"/>
          <w:pgNumType w:start="179"/>
          <w:cols w:space="720"/>
          <w:noEndnote/>
          <w:rtlGutter w:val="0"/>
          <w:docGrid w:linePitch="360"/>
        </w:sectPr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Острый период,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или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период первичных реакций на лучевые и нелучевые травмы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(первые часы и сутки после воздействия пора</w:t>
        <w:softHyphen/>
        <w:t>жающих факторов). Он представлен главным образом клиниче</w:t>
        <w:softHyphen/>
        <w:t>скими проявлениями нелучевых компонентов КРП: болевого синдрома, травматического или ожогового шока, кровопотери, острой дыхательной недостаточности, очаговых и общемозговых неврологических нарушений. Признаки первичной реакции на облучение (тошнота, рвота, гиподинамия и др.) обычно маски</w:t>
        <w:softHyphen/>
        <w:t>руются более ярко выраженной симптоматикой нелучевых ком</w:t>
        <w:softHyphen/>
        <w:t>понентов, однако рвота характеризуется значительно большей частотой и выраженностью, чем при изолированном поражении (табл. 20). Ранние гематологические сдвиги более характерны для нелучевых, нежели для радиационных поражений: нейтро</w:t>
        <w:softHyphen/>
        <w:t>фильный лейкоцитоз, анемия (при массивной кровопотере), гемоконцентрация (при обширных ожогах или синдроме дли</w:t>
        <w:softHyphen/>
        <w:t>тельного сдавливания) и т. д. Возникающая на фоне лейкоцито</w:t>
        <w:softHyphen/>
        <w:t>за абсолютная лимфопения — важный диагностический признак КРП, так как при ожогах и травмах наблюдается только относи</w:t>
        <w:softHyphen/>
        <w:t>тельная лимфопения.</w:t>
      </w:r>
    </w:p>
    <w:p>
      <w:pPr>
        <w:pStyle w:val="Style71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5362" w:right="0" w:firstLine="0"/>
        <w:jc w:val="left"/>
        <w:rPr>
          <w:sz w:val="15"/>
          <w:szCs w:val="15"/>
        </w:rPr>
      </w:pPr>
      <w:r>
        <w:rPr>
          <w:b w:val="0"/>
          <w:bCs w:val="0"/>
          <w:i/>
          <w:iCs/>
          <w:spacing w:val="0"/>
          <w:w w:val="100"/>
          <w:position w:val="0"/>
          <w:sz w:val="15"/>
          <w:szCs w:val="15"/>
          <w:shd w:val="clear" w:color="auto" w:fill="auto"/>
          <w:lang w:val="ru-RU" w:eastAsia="ru-RU" w:bidi="ru-RU"/>
        </w:rPr>
        <w:t>Таблица 20</w:t>
      </w:r>
    </w:p>
    <w:p>
      <w:pPr>
        <w:pStyle w:val="Style71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 w:firstLine="0"/>
        <w:jc w:val="center"/>
        <w:rPr>
          <w:sz w:val="17"/>
          <w:szCs w:val="17"/>
        </w:rPr>
      </w:pPr>
      <w:r>
        <w:rPr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Ожидаемая частота и характеристика радиационно-индуцированной эметической реакции при комбинированных радиационных поражениях </w:t>
      </w:r>
      <w:r>
        <w:rPr>
          <w:b w:val="0"/>
          <w:bCs w:val="0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>(по А. И. Бритуну и др., 1992)</w:t>
      </w:r>
    </w:p>
    <w:tbl>
      <w:tblPr>
        <w:tblOverlap w:val="never"/>
        <w:jc w:val="center"/>
        <w:tblLayout w:type="fixed"/>
      </w:tblPr>
      <w:tblGrid>
        <w:gridCol w:w="1195"/>
        <w:gridCol w:w="5074"/>
      </w:tblGrid>
      <w:tr>
        <w:trPr>
          <w:trHeight w:val="638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Дозы облучения при КРП, Гр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100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Характеристика эметической реакции</w:t>
            </w:r>
          </w:p>
        </w:tc>
      </w:tr>
      <w:tr>
        <w:trPr>
          <w:trHeight w:val="451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/>
              <w:jc w:val="both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0,8-1,2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Однократная рвота у 10% пораженных. Возникает в течение первых суток</w:t>
            </w:r>
          </w:p>
        </w:tc>
      </w:tr>
      <w:tr>
        <w:trPr>
          <w:trHeight w:val="446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/>
              <w:jc w:val="both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1.2-1,7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Однократная или повторная рвота у 25% пораженных. Возникает через 12-24 ч</w:t>
            </w:r>
          </w:p>
        </w:tc>
      </w:tr>
      <w:tr>
        <w:trPr>
          <w:trHeight w:val="259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/>
              <w:jc w:val="both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1,7-2,2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both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Повторная рвота у 50% пораженных. Возникает через 6-12 ч</w:t>
            </w:r>
          </w:p>
        </w:tc>
      </w:tr>
      <w:tr>
        <w:trPr>
          <w:trHeight w:val="446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2,2-3,3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76" w:lineRule="auto"/>
              <w:ind w:left="0" w:right="0" w:firstLine="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Частая многократная рвота у 70-90% пораженных. Возникает через 4-6 ч</w:t>
            </w:r>
          </w:p>
        </w:tc>
      </w:tr>
      <w:tr>
        <w:trPr>
          <w:trHeight w:val="259" w:hRule="exact"/>
        </w:trPr>
        <w:tc>
          <w:tcPr>
            <w:tcBorders>
              <w:top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/>
              <w:jc w:val="both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3,3-4,5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both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Неукротимая рвота у 100% пораженных. Возникает через 2-3 ч</w:t>
            </w:r>
          </w:p>
        </w:tc>
      </w:tr>
      <w:tr>
        <w:trPr>
          <w:trHeight w:val="485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Более 4,5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both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Неукротимая рвота у 100% пораженных. Возникает через 0,5-1 ч. Могут отмечаться расстройства гемодинамики (коллапс)</w:t>
            </w:r>
          </w:p>
        </w:tc>
      </w:tr>
    </w:tbl>
    <w:p>
      <w:pPr>
        <w:widowControl w:val="0"/>
        <w:spacing w:after="179" w:line="1" w:lineRule="exact"/>
      </w:pPr>
    </w:p>
    <w:p>
      <w:pPr>
        <w:pStyle w:val="Style34"/>
        <w:keepNext w:val="0"/>
        <w:keepLines w:val="0"/>
        <w:widowControl w:val="0"/>
        <w:numPr>
          <w:ilvl w:val="0"/>
          <w:numId w:val="105"/>
        </w:numPr>
        <w:shd w:val="clear" w:color="auto" w:fill="auto"/>
        <w:tabs>
          <w:tab w:pos="620" w:val="left"/>
        </w:tabs>
        <w:bidi w:val="0"/>
        <w:spacing w:before="0" w:after="0" w:line="230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Период преобладания нелучевых компонентов —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второй пе</w:t>
        <w:softHyphen/>
        <w:t>риод КРП — соответствует раннему постшоковому периоду травматической болезни и периоду острой ожоговой токсемии ожоговой болезни. Вследствие развития синдрома взаимного отягощения чаще развиваются и тяжелее протекают характерные для этих периодов осложнения (респираторный дистресс-синд</w:t>
        <w:softHyphen/>
        <w:t>ром взрослых, жировая эмболия, острая почечная недостаточ</w:t>
        <w:softHyphen/>
        <w:t>ность, синдром диссеминированного внутрисосудистого сверты</w:t>
        <w:softHyphen/>
        <w:t>вания), более выражена постгеморрагическая анемия.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случае достаточной длительности скрытого периода (при ОЛБ средней и легкой степени тяжести) и нетяжелой степени нелучевого компонента возможно заживление ран в течение вто</w:t>
        <w:softHyphen/>
        <w:t>рого периода КРП. К концу этого периода развиваются харак</w:t>
        <w:softHyphen/>
        <w:t>терные для лучевых поражений гематологические изменения: лейкоцитоз сменяется лейкопенией, нарастает лимфопения. В этот период формируются наиболее серьезные патогенетические механизмы синдрома взаимного отягощения.</w:t>
      </w:r>
    </w:p>
    <w:p>
      <w:pPr>
        <w:pStyle w:val="Style34"/>
        <w:keepNext w:val="0"/>
        <w:keepLines w:val="0"/>
        <w:widowControl w:val="0"/>
        <w:numPr>
          <w:ilvl w:val="0"/>
          <w:numId w:val="105"/>
        </w:numPr>
        <w:shd w:val="clear" w:color="auto" w:fill="auto"/>
        <w:tabs>
          <w:tab w:pos="615" w:val="left"/>
        </w:tabs>
        <w:bidi w:val="0"/>
        <w:spacing w:before="0" w:after="80" w:line="230" w:lineRule="auto"/>
        <w:ind w:left="0" w:right="0"/>
        <w:jc w:val="both"/>
        <w:sectPr>
          <w:headerReference w:type="default" r:id="rId436"/>
          <w:footerReference w:type="default" r:id="rId437"/>
          <w:headerReference w:type="even" r:id="rId438"/>
          <w:footerReference w:type="even" r:id="rId439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38" w:right="794" w:bottom="838" w:left="1308" w:header="410" w:footer="3" w:gutter="0"/>
          <w:pgNumType w:start="179"/>
          <w:cols w:space="720"/>
          <w:noEndnote/>
          <w:rtlGutter w:val="0"/>
          <w:docGrid w:linePitch="360"/>
        </w:sectPr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Период преобладания лучевого компонента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характеризуется преобладанием симптомов, характерных для периода разгара ОЛБ. В этот период максимально проявляется синдром взаим</w:t>
        <w:softHyphen/>
        <w:t>ного отягощения: усугубляются как признаки лучевого панцито- пенического синдрома, инфекционных осложнений и кровото</w:t>
        <w:softHyphen/>
        <w:t>чивости, так и выраженность нелучевых компонентов КРП. На фоне замедления регенерации ран развивается раневая инфек-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ция, возрастает вероятность вторичных кровотечений, отмечает</w:t>
        <w:softHyphen/>
        <w:t>ся повышенная ранимость тканей при операциях и манипуляци</w:t>
        <w:softHyphen/>
        <w:t>ях, подавляется демаркация некротизированных участков обо</w:t>
        <w:softHyphen/>
        <w:t>жженной кожи, прогрессирует полиорганная недостаточность. Накапливаясь уже во втором периоде КРП, в третьем периоде эти изменения значительно повышают вероятность развития токсико-септических осложнений и увеличивают риск смертель</w:t>
        <w:softHyphen/>
        <w:t>ных исходов. Третий период клинического течения КРП обычно является критическим.</w:t>
      </w:r>
    </w:p>
    <w:p>
      <w:pPr>
        <w:pStyle w:val="Style34"/>
        <w:keepNext w:val="0"/>
        <w:keepLines w:val="0"/>
        <w:widowControl w:val="0"/>
        <w:numPr>
          <w:ilvl w:val="0"/>
          <w:numId w:val="105"/>
        </w:numPr>
        <w:shd w:val="clear" w:color="auto" w:fill="auto"/>
        <w:tabs>
          <w:tab w:pos="620" w:val="left"/>
        </w:tabs>
        <w:bidi w:val="0"/>
        <w:spacing w:before="0" w:after="0" w:line="228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Период восстановления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характеризуется постепенной акти</w:t>
        <w:softHyphen/>
        <w:t>визацией регенеративных процессов, восстановлением иммуни</w:t>
        <w:softHyphen/>
        <w:t>тета, появлением положительной динамики заживления ран, ожогов, переломов. Вместе с тем многие последствия нелучевых травм (трофические язвы, остеомиелит, ложные суставы, конт</w:t>
        <w:softHyphen/>
        <w:t>рактуры, рубцовые деформации и т. д.) могут сохраняться в тече</w:t>
        <w:softHyphen/>
        <w:t>ние длительного времени, поскольку протекают в условиях фун</w:t>
        <w:softHyphen/>
        <w:t>кционально неполноценного гемо- и иммунопоэза, что, в свою очередь, отрицательно сказывается на эффективности лечения пострадавших и увеличивает сроки их нетрудоспособности.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Таким образом, основными особенностями клинического те</w:t>
        <w:softHyphen/>
        <w:t>чения КРП являются:</w:t>
      </w:r>
    </w:p>
    <w:p>
      <w:pPr>
        <w:pStyle w:val="Style34"/>
        <w:keepNext w:val="0"/>
        <w:keepLines w:val="0"/>
        <w:widowControl w:val="0"/>
        <w:numPr>
          <w:ilvl w:val="0"/>
          <w:numId w:val="107"/>
        </w:numPr>
        <w:shd w:val="clear" w:color="auto" w:fill="auto"/>
        <w:tabs>
          <w:tab w:pos="566" w:val="left"/>
        </w:tabs>
        <w:bidi w:val="0"/>
        <w:spacing w:before="0" w:after="0" w:line="226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отсутствие характерного для острой лучевой болезни скры</w:t>
        <w:softHyphen/>
        <w:t>того периода (он «заполнен» клиникой ожога или механи</w:t>
        <w:softHyphen/>
        <w:t>ческой травмы);</w:t>
      </w:r>
    </w:p>
    <w:p>
      <w:pPr>
        <w:pStyle w:val="Style34"/>
        <w:keepNext w:val="0"/>
        <w:keepLines w:val="0"/>
        <w:widowControl w:val="0"/>
        <w:numPr>
          <w:ilvl w:val="0"/>
          <w:numId w:val="107"/>
        </w:numPr>
        <w:shd w:val="clear" w:color="auto" w:fill="auto"/>
        <w:tabs>
          <w:tab w:pos="566" w:val="left"/>
        </w:tabs>
        <w:bidi w:val="0"/>
        <w:spacing w:before="0" w:after="0" w:line="223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более раннее наступление и более тяжелое течение периода разгара ОЛБ;</w:t>
      </w:r>
    </w:p>
    <w:p>
      <w:pPr>
        <w:pStyle w:val="Style34"/>
        <w:keepNext w:val="0"/>
        <w:keepLines w:val="0"/>
        <w:widowControl w:val="0"/>
        <w:numPr>
          <w:ilvl w:val="0"/>
          <w:numId w:val="107"/>
        </w:numPr>
        <w:shd w:val="clear" w:color="auto" w:fill="auto"/>
        <w:tabs>
          <w:tab w:pos="542" w:val="left"/>
        </w:tabs>
        <w:bidi w:val="0"/>
        <w:spacing w:before="0" w:after="0" w:line="228" w:lineRule="auto"/>
        <w:ind w:left="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более длительный восстановительный период;</w:t>
      </w:r>
    </w:p>
    <w:p>
      <w:pPr>
        <w:pStyle w:val="Style34"/>
        <w:keepNext w:val="0"/>
        <w:keepLines w:val="0"/>
        <w:widowControl w:val="0"/>
        <w:numPr>
          <w:ilvl w:val="0"/>
          <w:numId w:val="107"/>
        </w:numPr>
        <w:shd w:val="clear" w:color="auto" w:fill="auto"/>
        <w:tabs>
          <w:tab w:pos="566" w:val="left"/>
        </w:tabs>
        <w:bidi w:val="0"/>
        <w:spacing w:before="0" w:after="0" w:line="226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модификация течения местных и общих посттравматиче</w:t>
        <w:softHyphen/>
        <w:t>ских реакций (утяжеление шока и постшоковых рас</w:t>
        <w:softHyphen/>
        <w:t>стройств, угнетение воспалительных реакций, нарушение процессов репаративной регенерации и т. д.).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  <w:sectPr>
          <w:headerReference w:type="default" r:id="rId440"/>
          <w:footerReference w:type="default" r:id="rId441"/>
          <w:headerReference w:type="even" r:id="rId442"/>
          <w:footerReference w:type="even" r:id="rId443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32" w:right="643" w:bottom="832" w:left="1499" w:header="404" w:footer="3" w:gutter="0"/>
          <w:pgNumType w:start="181"/>
          <w:cols w:space="720"/>
          <w:noEndnote/>
          <w:rtlGutter w:val="0"/>
          <w:docGrid w:linePitch="360"/>
        </w:sectPr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Лечение КРП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заключается в комплексном применении средств и методов лечения лучевых и нелучевых травм. Много</w:t>
        <w:softHyphen/>
        <w:t>численные исследования, проведенные в 50—60-е годы прошлого века, позволили сформулировать важнейший постулат в лечеб</w:t>
        <w:softHyphen/>
        <w:t>ной тактике при КРП: ключевым моментом является использо</w:t>
        <w:softHyphen/>
        <w:t>вание скрытого периода острой лучевой болезни для проведения хирургических мероприятий. Это положение выдвинуло новые, не встречавшиеся ранее в военно-полевой хирургии и хирургии повреждений требования: необходимость добиться заживления раны до начала периода разгара ОЛБ, невозможность длитель-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ного открытого ведения ран. Следует отметить, что достижения хирургии повреждений последующих десятилетий (разработка методов внеочагового остеосинтеза, приточно-отливного дрени</w:t>
        <w:softHyphen/>
        <w:t>рования ран, внедрение в клиническую практику новых поколе</w:t>
        <w:softHyphen/>
        <w:t>ний антибиотиков и других антибактериальных препаратов, но</w:t>
        <w:softHyphen/>
        <w:t>вых сорбирущих материалов и т. д.) предоставляют новые воз</w:t>
        <w:softHyphen/>
        <w:t>можности в решении задач лечения КРП.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первом периоде КРП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(первичной реакции на лучевые и не</w:t>
        <w:softHyphen/>
        <w:t>лучевые травмы) основные усилия должны быть направлены на ликвидацию последствий нелучевых повреждений и профилак</w:t>
        <w:softHyphen/>
        <w:t>тику их осложнений. Проводятся мероприятия, направленные на восстановление внешнего дыхания, окончательную останов</w:t>
        <w:softHyphen/>
        <w:t>ку кровотечения, обезболивание, иммобилизацию. При тяжелых травмах, сопровождающихся шоком, проводится противошоко</w:t>
        <w:softHyphen/>
        <w:t>вая терапия, а также хирургические вмешательства по жизнен</w:t>
        <w:softHyphen/>
        <w:t>ным показаниям. Помощь при радиационно-термических пора</w:t>
        <w:softHyphen/>
        <w:t>жениях включает наложение первичных повязок, аналгезию, противошоковую терапию. Если имеются признаки первичной реакции на облучение, необходимо их купировать с помощью противорвотных препаратов. Применение антибиотиков в пер</w:t>
        <w:softHyphen/>
        <w:t>вом периоде КРП направлено на профилактику раневой инфек</w:t>
        <w:softHyphen/>
        <w:t>ции.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Во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втором периоде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(преобладания нелучевых компонентов) задачи лечения остаются прежними, но значительно расширяет</w:t>
        <w:softHyphen/>
        <w:t>ся содержание хирургической помощи при радиационно-меха</w:t>
        <w:softHyphen/>
        <w:t>нических поражениях. В этот период должна быть проведена первичная хирургическая обработка ран и открытых переломов, а также все мероприятия квалифицированной и специализиро</w:t>
        <w:softHyphen/>
        <w:t>ванной хирургической помощи, выполнение которых не может быть отсрочено до завершения периода разгара ОЛБ. Оператив</w:t>
        <w:softHyphen/>
        <w:t>ное лечение ожогов в этом периоде может применяться лишь при ограниченных глубоких поражениях (не более 3—5% поверх</w:t>
        <w:softHyphen/>
        <w:t>ности тела).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  <w:sectPr>
          <w:headerReference w:type="default" r:id="rId444"/>
          <w:footerReference w:type="default" r:id="rId445"/>
          <w:headerReference w:type="even" r:id="rId446"/>
          <w:footerReference w:type="even" r:id="rId447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99" w:right="876" w:bottom="807" w:left="1236" w:header="471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Основные усилия в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третьем периоде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Л777 (преобладания луче</w:t>
        <w:softHyphen/>
        <w:t>вого компонента) должны быть сосредоточены на мероприятиях по борьбе с панцитопеническим и геморрагическим синдрома</w:t>
        <w:softHyphen/>
        <w:t>ми, а также на проведении дезинтоксикационной и симптомати</w:t>
        <w:softHyphen/>
        <w:t>ческой терапии. Основной хирургический аспект мероприятий, проводимых в этом периоде, — профилактика и лечение раневой инфекции и сепсиса. Хирургические вмешательства выполняют</w:t>
        <w:softHyphen/>
        <w:t>ся только по жизненным показаниям (наружные и внутренние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кровотечения, перфорации полых органов и т. д.). При этом дол</w:t>
        <w:softHyphen/>
        <w:t>жны быть приняты меры для тщательного гемостаза (предвари</w:t>
        <w:softHyphen/>
        <w:t>тельная перевязка сосудов на протяжении, электро-, термо- и химическая коагуляция, применение гемостатической губки и т. д.) и повышения свертываемости крови (препараты кальция, эпсилон-аминокапроновая кислота, викасол, переливания ком</w:t>
        <w:softHyphen/>
        <w:t>понентов крови и т. п.).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52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четвертом периоде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(восстановления) осуществляется пато</w:t>
        <w:softHyphen/>
        <w:t>генетическая и симптоматическая терапия остаточных явлений лучевого поражения и лечение последствий нелучевых травм. В этом же периоде проводится оперативное лечение глубоких и обширных ожогов — пластическое замещение кожных покро</w:t>
        <w:softHyphen/>
        <w:t>вов. Выполняются также необходимые реконструктивно-восста</w:t>
        <w:softHyphen/>
        <w:t>новительные операции по поводу последствий механических травм и их осложнений, а также комплекс реабилитационных мероприятий (лечебная физкультура, физиотерапия и т. п.).</w:t>
      </w:r>
    </w:p>
    <w:p>
      <w:pPr>
        <w:pStyle w:val="Style44"/>
        <w:keepNext/>
        <w:keepLines/>
        <w:widowControl w:val="0"/>
        <w:numPr>
          <w:ilvl w:val="1"/>
          <w:numId w:val="109"/>
        </w:numPr>
        <w:shd w:val="clear" w:color="auto" w:fill="auto"/>
        <w:tabs>
          <w:tab w:pos="433" w:val="left"/>
        </w:tabs>
        <w:bidi w:val="0"/>
        <w:spacing w:before="0" w:after="260" w:line="240" w:lineRule="auto"/>
        <w:ind w:left="0" w:right="0" w:firstLine="0"/>
        <w:jc w:val="center"/>
      </w:pPr>
      <w:bookmarkStart w:id="98" w:name="bookmark98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СОЧЕТАННЫЕ РАДИАЦИОННЫЕ ПОРАЖЕНИЯ</w:t>
      </w:r>
      <w:bookmarkEnd w:id="98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40" w:line="226" w:lineRule="auto"/>
        <w:ind w:left="0" w:right="0" w:firstLine="0"/>
        <w:jc w:val="both"/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Сочетанные радиационные поражения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формируются при воздей</w:t>
        <w:softHyphen/>
        <w:t>ствии на организм ионизирующих излучений различной природы или различными путями: внешнее облучение и инкорпорация радионуклидов, внешнее облучение и наружное радиоактивное загрязнение кожных покровов и т. п. Сочетанные радиационные поражения наиболее часто возникают при радиационных авари</w:t>
        <w:softHyphen/>
        <w:t>ях и катастрофах, но также могут быть следствием применения ядерного оружия или террористических актов.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60" w:line="240" w:lineRule="auto"/>
        <w:ind w:left="0" w:right="0"/>
        <w:jc w:val="both"/>
        <w:sectPr>
          <w:headerReference w:type="default" r:id="rId448"/>
          <w:footerReference w:type="default" r:id="rId449"/>
          <w:headerReference w:type="even" r:id="rId450"/>
          <w:footerReference w:type="even" r:id="rId451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90" w:right="577" w:bottom="850" w:left="1569" w:header="462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Этот вид радиационных поражений является результатом од</w:t>
        <w:softHyphen/>
        <w:t>новременного или последовательного воздействия внешнего из</w:t>
        <w:softHyphen/>
        <w:t>лучения, аппликации на кожу и слизистые оболочки радионук</w:t>
        <w:softHyphen/>
        <w:t>лидов, их поступления внутрь организма через органы дыхания и пищеварения, а также раневые и ожоговые поверхности. Соче</w:t>
        <w:softHyphen/>
        <w:t>танные поражения могут иметь место у лиц, оказавшихся без средств защиты кожи и органов дыхания на местности, загряз</w:t>
        <w:softHyphen/>
        <w:t>ненной радиоактивными продуктами ядерного взрыва или ра</w:t>
        <w:softHyphen/>
        <w:t>дионуклидами, попавшими в окружающую среду вследствие ра</w:t>
        <w:softHyphen/>
        <w:t>диационных аварий. Считается, что сочетанные радиационные поражения (наряду с комбинированными) являются наиболее вероятными формами патологии, возникающей у пострадавших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применении ядерного оружия или при радиационных ава</w:t>
        <w:softHyphen/>
        <w:t>риях.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литературе подробно описаны массовые случаи сочетан</w:t>
        <w:softHyphen/>
        <w:t>ных радиационных поражений у жертв атомных бомбардировок Хиросимы и Нагасаки, а также у жителей Маршалловых островов, подвергшихся воздействию у-р-излучения в момент выпадения радиоактивных осадков, вызванных испытанием США термо</w:t>
        <w:softHyphen/>
        <w:t>ядерного оружия. Этот вариант радиационных поражений часто наблюдался у пострадавших при авариях ядерных энергетиче</w:t>
        <w:softHyphen/>
        <w:t>ских установок на атомных подводных лодках и при ликвидации последствий Чернобыльской катастрофы.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 правило, ведущим фактором, определяющим течение сочетанного поражения, является доза общего внешнего облу</w:t>
        <w:softHyphen/>
        <w:t>чения. Однако и сопутствующие компоненты поражения — р-ожоги кожных покровов и слизистых оболочек, поражения от внутреннего облучения — играют весьма существенную роль в усугублении общего состояния и перспектив лечения пострадав</w:t>
        <w:softHyphen/>
        <w:t>ших, а в ряде случаев могут явиться непосредственной причиной их гибели.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Особенностями, отличающими течение острой лучевой бо</w:t>
        <w:softHyphen/>
        <w:t>лезни при сочетанном облучении от поражения, вызываемого изолированным внешним у-воздействием, являются:</w:t>
      </w:r>
    </w:p>
    <w:p>
      <w:pPr>
        <w:pStyle w:val="Style34"/>
        <w:keepNext w:val="0"/>
        <w:keepLines w:val="0"/>
        <w:widowControl w:val="0"/>
        <w:numPr>
          <w:ilvl w:val="0"/>
          <w:numId w:val="111"/>
        </w:numPr>
        <w:shd w:val="clear" w:color="auto" w:fill="auto"/>
        <w:tabs>
          <w:tab w:pos="566" w:val="left"/>
        </w:tabs>
        <w:bidi w:val="0"/>
        <w:spacing w:before="0" w:after="0" w:line="228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более выраженная первичная реакция на облучение, сопро</w:t>
        <w:softHyphen/>
        <w:t>вождающаяся диспептическими и астено-гиподинамиче- скими симптомами, раздражением слизистых оболочек верхних дыхательных путей и конъюнктивы глаз, первич</w:t>
        <w:softHyphen/>
        <w:t>ной эритемой на открытых участках тела;</w:t>
      </w:r>
    </w:p>
    <w:p>
      <w:pPr>
        <w:pStyle w:val="Style34"/>
        <w:keepNext w:val="0"/>
        <w:keepLines w:val="0"/>
        <w:widowControl w:val="0"/>
        <w:numPr>
          <w:ilvl w:val="0"/>
          <w:numId w:val="111"/>
        </w:numPr>
        <w:shd w:val="clear" w:color="auto" w:fill="auto"/>
        <w:tabs>
          <w:tab w:pos="562" w:val="left"/>
        </w:tabs>
        <w:bidi w:val="0"/>
        <w:spacing w:before="0" w:after="0" w:line="228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нарушение «классической» периодизации острого лучевого костномозгового синдрома: удлинение и неотчетливость границ периода первичной реакции на облучение, умень</w:t>
        <w:softHyphen/>
        <w:t>шение продолжительности скрытого периода или его от</w:t>
        <w:softHyphen/>
        <w:t>сутствие, более длительный период восстановления;</w:t>
      </w:r>
    </w:p>
    <w:p>
      <w:pPr>
        <w:pStyle w:val="Style34"/>
        <w:keepNext w:val="0"/>
        <w:keepLines w:val="0"/>
        <w:widowControl w:val="0"/>
        <w:numPr>
          <w:ilvl w:val="0"/>
          <w:numId w:val="111"/>
        </w:numPr>
        <w:shd w:val="clear" w:color="auto" w:fill="auto"/>
        <w:tabs>
          <w:tab w:pos="562" w:val="left"/>
        </w:tabs>
        <w:bidi w:val="0"/>
        <w:spacing w:before="0" w:after="0" w:line="228" w:lineRule="auto"/>
        <w:ind w:left="500" w:right="0" w:hanging="160"/>
        <w:jc w:val="both"/>
        <w:sectPr>
          <w:headerReference w:type="default" r:id="rId452"/>
          <w:footerReference w:type="default" r:id="rId453"/>
          <w:headerReference w:type="even" r:id="rId454"/>
          <w:footerReference w:type="even" r:id="rId455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95" w:right="821" w:bottom="812" w:left="1306" w:header="467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изменение «классической» динамики панцитопенического синдрома за счет разнонаправленного действия р- и у-излу</w:t>
        <w:softHyphen/>
        <w:t>чения на кроветворение: менее выраженная лейкопения в период разгара при ОЛБ легкой и средней степени тяжести, изменение сроков наступления и темпов развития аграну</w:t>
        <w:softHyphen/>
        <w:t>лоцитоза при тяжелых формах поражения, ранняя тромбо</w:t>
        <w:softHyphen/>
        <w:t>цитопения и анемия, замедленное восстановление уровня лейкоцитов в период выздоровления;</w:t>
      </w:r>
    </w:p>
    <w:p>
      <w:pPr>
        <w:pStyle w:val="Style34"/>
        <w:keepNext w:val="0"/>
        <w:keepLines w:val="0"/>
        <w:widowControl w:val="0"/>
        <w:numPr>
          <w:ilvl w:val="0"/>
          <w:numId w:val="111"/>
        </w:numPr>
        <w:shd w:val="clear" w:color="auto" w:fill="auto"/>
        <w:tabs>
          <w:tab w:pos="582" w:val="left"/>
        </w:tabs>
        <w:bidi w:val="0"/>
        <w:spacing w:before="0" w:after="0" w:line="228" w:lineRule="auto"/>
        <w:ind w:left="500" w:right="0" w:hanging="1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более ранние и выраженные проявления эндогенной ин</w:t>
        <w:softHyphen/>
        <w:t>токсикации (за счет плазмореи и потери белков), гемор</w:t>
        <w:softHyphen/>
        <w:t>рагического синдрома (носовые кровотечения в скрытом периоде, появление кровоизлияний в восстановительном периоде и т. д.), более сильные нарушения функций сер</w:t>
        <w:softHyphen/>
        <w:t>дечно-сосудистой, эндокринной и центральной нервной систем;</w:t>
      </w:r>
    </w:p>
    <w:p>
      <w:pPr>
        <w:pStyle w:val="Style34"/>
        <w:keepNext w:val="0"/>
        <w:keepLines w:val="0"/>
        <w:widowControl w:val="0"/>
        <w:numPr>
          <w:ilvl w:val="0"/>
          <w:numId w:val="111"/>
        </w:numPr>
        <w:shd w:val="clear" w:color="auto" w:fill="auto"/>
        <w:tabs>
          <w:tab w:pos="582" w:val="left"/>
        </w:tabs>
        <w:bidi w:val="0"/>
        <w:spacing w:before="0" w:after="0" w:line="228" w:lineRule="auto"/>
        <w:ind w:left="500" w:right="0" w:hanging="1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увеличение тяжести поражений, вызванных внутренним облучением организма при инкорпорации радионуклидов;</w:t>
      </w:r>
    </w:p>
    <w:p>
      <w:pPr>
        <w:pStyle w:val="Style34"/>
        <w:keepNext w:val="0"/>
        <w:keepLines w:val="0"/>
        <w:widowControl w:val="0"/>
        <w:numPr>
          <w:ilvl w:val="0"/>
          <w:numId w:val="111"/>
        </w:numPr>
        <w:shd w:val="clear" w:color="auto" w:fill="auto"/>
        <w:tabs>
          <w:tab w:pos="582" w:val="left"/>
        </w:tabs>
        <w:bidi w:val="0"/>
        <w:spacing w:before="0" w:after="0" w:line="228" w:lineRule="auto"/>
        <w:ind w:left="500" w:right="0" w:hanging="1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более тяжелое течение местных радиационных поражений, частое инфицирование ран и более длительное их заживле</w:t>
        <w:softHyphen/>
        <w:t>ние;</w:t>
      </w:r>
    </w:p>
    <w:p>
      <w:pPr>
        <w:pStyle w:val="Style34"/>
        <w:keepNext w:val="0"/>
        <w:keepLines w:val="0"/>
        <w:widowControl w:val="0"/>
        <w:numPr>
          <w:ilvl w:val="0"/>
          <w:numId w:val="111"/>
        </w:numPr>
        <w:shd w:val="clear" w:color="auto" w:fill="auto"/>
        <w:tabs>
          <w:tab w:pos="586" w:val="left"/>
        </w:tabs>
        <w:bidi w:val="0"/>
        <w:spacing w:before="0" w:after="0" w:line="228" w:lineRule="auto"/>
        <w:ind w:left="500" w:right="0" w:hanging="1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увеличение числа поздних летальных исходов у тяжелопо- раженных;</w:t>
      </w:r>
    </w:p>
    <w:p>
      <w:pPr>
        <w:pStyle w:val="Style34"/>
        <w:keepNext w:val="0"/>
        <w:keepLines w:val="0"/>
        <w:widowControl w:val="0"/>
        <w:numPr>
          <w:ilvl w:val="0"/>
          <w:numId w:val="111"/>
        </w:numPr>
        <w:shd w:val="clear" w:color="auto" w:fill="auto"/>
        <w:tabs>
          <w:tab w:pos="582" w:val="left"/>
        </w:tabs>
        <w:bidi w:val="0"/>
        <w:spacing w:before="0" w:after="0" w:line="228" w:lineRule="auto"/>
        <w:ind w:left="500" w:right="0" w:hanging="1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длительный клинический период выздоровления, характе</w:t>
        <w:softHyphen/>
        <w:t>ризующийся выраженными астено-вегетативными расстрой</w:t>
        <w:softHyphen/>
        <w:t>ствами, функциональной неустойчивостью, снижением толе</w:t>
        <w:softHyphen/>
        <w:t>рантности к физическим и психическим нагрузкам;</w:t>
      </w:r>
    </w:p>
    <w:p>
      <w:pPr>
        <w:pStyle w:val="Style34"/>
        <w:keepNext w:val="0"/>
        <w:keepLines w:val="0"/>
        <w:widowControl w:val="0"/>
        <w:numPr>
          <w:ilvl w:val="0"/>
          <w:numId w:val="111"/>
        </w:numPr>
        <w:shd w:val="clear" w:color="auto" w:fill="auto"/>
        <w:tabs>
          <w:tab w:pos="582" w:val="left"/>
        </w:tabs>
        <w:bidi w:val="0"/>
        <w:spacing w:before="0" w:after="0" w:line="228" w:lineRule="auto"/>
        <w:ind w:left="500" w:right="0" w:hanging="1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повышение риска отдаленных (главным образом, онколо</w:t>
        <w:softHyphen/>
        <w:t>гических) последствий облучения.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360"/>
        <w:jc w:val="both"/>
        <w:sectPr>
          <w:headerReference w:type="default" r:id="rId456"/>
          <w:footerReference w:type="default" r:id="rId457"/>
          <w:headerReference w:type="even" r:id="rId458"/>
          <w:footerReference w:type="even" r:id="rId459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40" w:right="400" w:bottom="791" w:left="1706" w:header="512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Основным принципом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лечения сочетанных радиационных по</w:t>
        <w:softHyphen/>
        <w:t>ражений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является комплексное применение средств терапии острой лучевой болезни и местных повреждений кожи и слизи</w:t>
        <w:softHyphen/>
        <w:t>стых оболочек. Характеристика этих средств и методов подробно изложена выше. Вместе с тем, с учетом патогенетических меха</w:t>
        <w:softHyphen/>
        <w:t>низмов взаимного отягощения общих и местных патологических процессов, при сочетанных лучевых поражениях особое внима</w:t>
        <w:softHyphen/>
        <w:t>ние должно быть уделено дезинтоксикационным и противоин- фекционным мероприятиям, борьбе с геморрагическими прояв</w:t>
        <w:softHyphen/>
        <w:t>лениями и анемией. Пострадавшим с сочетанными радиацион</w:t>
        <w:softHyphen/>
        <w:t>ными поражениями показано более широкое использование экстракорпоральных методов активной гемокоррекции и эффе</w:t>
        <w:softHyphen/>
        <w:t>рентной терапии (цито- и плазмаферез, гемо- и плазмосорбция), инфузии плазмы и плазмозамещающих растворов и электролитов с целью предотвращения токсемии, ДВС-синдрома, нарушений водно-электролитного и кислотно-щелочного баланса. Необхо</w:t>
        <w:softHyphen/>
        <w:t>димы тщательное соблюдение асептических условий ведения бо</w:t>
        <w:softHyphen/>
        <w:t>льных, санация очагов инфекции и желудочно-кишечного трак</w:t>
        <w:softHyphen/>
        <w:t>та с помощью неадсорбируемых антибиотиков и бактерицидных препаратов в скрытом периоде, использование всего арсенала средств антибактериальной, антимикотической и противовирус-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ной терапии инфекционных осложнений в условиях развивше</w:t>
        <w:softHyphen/>
        <w:t>гося агранулоцитоза, регулярная обработка пораженных слизи</w:t>
        <w:softHyphen/>
        <w:t>стых оболочек и кожных покровов бактерицидными средствами и антисептиками.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Особенно важна при сочетанных радиационных поражениях борьба с кровоточивостью и анемией. В терапии геморрагиче</w:t>
        <w:softHyphen/>
        <w:t>ского синдрома основное место занимают трансфузии тромбо</w:t>
        <w:softHyphen/>
        <w:t>цитарной массы, свежезамороженной плазмы с гепарином, мест</w:t>
        <w:softHyphen/>
        <w:t>ное применение гемостатиков при кровотечениях из слизистых оболочек носоглотки или ожоговых ран. С целью лечения ане</w:t>
        <w:softHyphen/>
        <w:t>мии используют переливание эритромассы.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520" w:line="233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Важную роль в лечении сочетанных поражений играет также симптоматическая терапия, прежде всего борьба с болевым син</w:t>
        <w:softHyphen/>
        <w:t>дромом, обусловленным наличием лучевых ожогов, а также ме</w:t>
        <w:softHyphen/>
        <w:t>роприятия, направленные на поддержание функций сердеч</w:t>
        <w:softHyphen/>
        <w:t>но-сосудистой системы, печени, почек.</w:t>
      </w:r>
    </w:p>
    <w:p>
      <w:pPr>
        <w:pStyle w:val="Style44"/>
        <w:keepNext/>
        <w:keepLines/>
        <w:widowControl w:val="0"/>
        <w:numPr>
          <w:ilvl w:val="1"/>
          <w:numId w:val="109"/>
        </w:numPr>
        <w:shd w:val="clear" w:color="auto" w:fill="auto"/>
        <w:tabs>
          <w:tab w:pos="433" w:val="left"/>
        </w:tabs>
        <w:bidi w:val="0"/>
        <w:spacing w:before="0" w:after="260" w:line="240" w:lineRule="auto"/>
        <w:ind w:left="0" w:right="0" w:firstLine="0"/>
        <w:jc w:val="center"/>
      </w:pPr>
      <w:bookmarkStart w:id="100" w:name="bookmark100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ХРОНИЧЕСКАЯ ЛУЧЕВАЯ БОЛЕЗНЬ</w:t>
      </w:r>
      <w:bookmarkEnd w:id="100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bookmarkStart w:id="102" w:name="bookmark102"/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Хроническая лучевая болезнь (ХЛБ) —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это форма лучевой патоло</w:t>
        <w:softHyphen/>
        <w:t>гии, которая развивается при длительном (месяцы, годы) воз</w:t>
        <w:softHyphen/>
        <w:t>действии на организм ионизирующего излучения в дозах, суще</w:t>
        <w:softHyphen/>
        <w:t>ственно (в 10 раз и более) превышающих уровни, допустимые для профессионалов. По мнению А. К. Гуськовой (2001), уро</w:t>
        <w:softHyphen/>
        <w:t>вень доз, необходимый для развития ХЛБ, должен превышать 0,1 Гр в год и суммарно достигать величины не менее 0,7—1,5 Гр.</w:t>
      </w:r>
      <w:bookmarkEnd w:id="102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Сроки развития заболевания варьируют в пределах от 1-2 до 5—10 лет. Весьма характерной чертой ХЛБ является длитель</w:t>
        <w:softHyphen/>
        <w:t>ность и волнообразность течения, отражающие сочетание нарас</w:t>
        <w:softHyphen/>
        <w:t>тающих эффектов лучевого повреждения с отчетливыми компен</w:t>
        <w:softHyphen/>
        <w:t>саторно-приспособительными и восстановительными процессами. Выраженность возникающих при ХЛБ синдромов определяется мощностью, пространственным распределением и суммарной величиной дозы, сроками лучевого воздействия, радиочувстви</w:t>
        <w:softHyphen/>
        <w:t>тельностью облученных органов и тканей и соотношением про</w:t>
        <w:softHyphen/>
        <w:t>цессов повреждения и восстановления в них.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  <w:sectPr>
          <w:headerReference w:type="default" r:id="rId460"/>
          <w:footerReference w:type="default" r:id="rId461"/>
          <w:headerReference w:type="even" r:id="rId462"/>
          <w:footerReference w:type="even" r:id="rId463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42" w:right="924" w:bottom="760" w:left="1183" w:header="514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развитии ХЛБ при продолжающемся радиационном воз</w:t>
        <w:softHyphen/>
        <w:t>действии и после его прекращения или снижения интенсивно</w:t>
        <w:softHyphen/>
        <w:t>сти облучения можно выделить три основных периода:</w:t>
      </w:r>
    </w:p>
    <w:p>
      <w:pPr>
        <w:pStyle w:val="Style34"/>
        <w:keepNext w:val="0"/>
        <w:keepLines w:val="0"/>
        <w:widowControl w:val="0"/>
        <w:numPr>
          <w:ilvl w:val="0"/>
          <w:numId w:val="113"/>
        </w:numPr>
        <w:shd w:val="clear" w:color="auto" w:fill="auto"/>
        <w:tabs>
          <w:tab w:pos="802" w:val="left"/>
        </w:tabs>
        <w:bidi w:val="0"/>
        <w:spacing w:before="0" w:after="0" w:line="228" w:lineRule="auto"/>
        <w:ind w:left="0" w:right="0" w:firstLine="58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период формирования заболевания;</w:t>
      </w:r>
    </w:p>
    <w:p>
      <w:pPr>
        <w:pStyle w:val="Style34"/>
        <w:keepNext w:val="0"/>
        <w:keepLines w:val="0"/>
        <w:widowControl w:val="0"/>
        <w:numPr>
          <w:ilvl w:val="0"/>
          <w:numId w:val="113"/>
        </w:numPr>
        <w:shd w:val="clear" w:color="auto" w:fill="auto"/>
        <w:tabs>
          <w:tab w:pos="802" w:val="left"/>
        </w:tabs>
        <w:bidi w:val="0"/>
        <w:spacing w:before="0" w:after="0" w:line="228" w:lineRule="auto"/>
        <w:ind w:left="0" w:right="0" w:firstLine="58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период восстановления;</w:t>
      </w:r>
    </w:p>
    <w:p>
      <w:pPr>
        <w:pStyle w:val="Style34"/>
        <w:keepNext w:val="0"/>
        <w:keepLines w:val="0"/>
        <w:widowControl w:val="0"/>
        <w:numPr>
          <w:ilvl w:val="0"/>
          <w:numId w:val="113"/>
        </w:numPr>
        <w:shd w:val="clear" w:color="auto" w:fill="auto"/>
        <w:tabs>
          <w:tab w:pos="802" w:val="left"/>
        </w:tabs>
        <w:bidi w:val="0"/>
        <w:spacing w:before="0" w:after="0" w:line="228" w:lineRule="auto"/>
        <w:ind w:left="0" w:right="0" w:firstLine="58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период последствий и исходов.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Период формирования,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или собственно хроническая лучевая болезнь, соответствует срокам накопления основной (порого</w:t>
        <w:softHyphen/>
        <w:t>вой) доли суммарной дозы, т. е. времени облучения и (или) бли</w:t>
        <w:softHyphen/>
        <w:t>жайшим годам (1-3 года) после окончания радиационного воз</w:t>
        <w:softHyphen/>
        <w:t>действия или резкого снижения интенсивности радиационного воздействия. В этот период и формируются основные клиниче</w:t>
        <w:softHyphen/>
        <w:t>ские синдромы ХЛБ, выраженность которых может достигать легкой (I), средней (II), тяжелой (III) или крайне тяжелой (IV) степени. Все эти степени тяжести по существу являются фазами в развитии единого патологического процесса и при продолжаю</w:t>
        <w:softHyphen/>
        <w:t>щемся облучении последовательно сменяют друг друга. При прекращении облучения или снижении его интенсивности до предельно допустимых уровней процесс может ограничиться той или иной степенью тяжести, чаще всего I или II, и дальше не развиваться. Однако при тяжелых и, особенно, крайне тяжелых формах поражения даже полная отмена радиационного воздей</w:t>
        <w:softHyphen/>
        <w:t>ствия часто уже не может предотвратить нарастания тяжести процесса вплоть до развития летального исхода.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Период восстановления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при ХЛБ обычно начинается через 1-3 года после полного прекращения радиационного воздействия или резкого снижения его интенсивности до предельно допусти</w:t>
        <w:softHyphen/>
        <w:t>мых уровней. К этому времени, как правило, заканчивается основной цикл первичных деструктивных изменений и отчетли</w:t>
        <w:softHyphen/>
        <w:t>вым становится преобладание репаративных процессов. Регист</w:t>
        <w:softHyphen/>
        <w:t>рируемые в этот период признаки недостаточности ряда органов и систем (нарушения трофики, расстройства нервно-эндокрин</w:t>
        <w:softHyphen/>
        <w:t>ной регуляции физиологических процессов и т. п.) отражают прежде всего развитие компенсаторно-приспособительных ре</w:t>
        <w:softHyphen/>
        <w:t>акций к сформировавшемуся ранее дефекту. Таким образом, па</w:t>
        <w:softHyphen/>
        <w:t>тогенетические механизмы наблюдающихся в этот период изме</w:t>
        <w:softHyphen/>
        <w:t>нений принципиально другие, чем в период формирования ХЛБ, хотя отдельные клинические проявления могут быть внеш</w:t>
        <w:softHyphen/>
        <w:t>не сходными.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  <w:sectPr>
          <w:headerReference w:type="default" r:id="rId464"/>
          <w:footerReference w:type="default" r:id="rId465"/>
          <w:headerReference w:type="even" r:id="rId466"/>
          <w:footerReference w:type="even" r:id="rId467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15" w:right="453" w:bottom="830" w:left="1682" w:header="487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период последствий и исходов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ХЛБ может наблюдаться пол</w:t>
        <w:softHyphen/>
        <w:t>ное восстановление с последующим клиническим выздоровле</w:t>
        <w:softHyphen/>
        <w:t>нием, частичное восстановление при наличии компенсирован</w:t>
        <w:softHyphen/>
        <w:t>ного остаточного дефекта, стабилизация образовавшихся нару</w:t>
        <w:softHyphen/>
        <w:t>шений гомеостаза, а также ухудшение состояния пострадавшего,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связанное с возникновением в отдаленные сроки некоторых за</w:t>
        <w:softHyphen/>
        <w:t>болеваний (лейкозы, опухоли других органов и систем, анемия, ускоренная инволюция и др.). Эти заболевания по своей приро</w:t>
        <w:softHyphen/>
        <w:t>де являются полиэтиологичными, т. е. могут вызываться дейст</w:t>
        <w:softHyphen/>
        <w:t>вием целого ряда факторов (химические вещества, вирусы и т. п.), в том числе радиационной природы. Развитие этих заболе</w:t>
        <w:softHyphen/>
        <w:t>ваний носит стохастический, т. е. вероятностный, характер и прямо не связано с полученной дозой облучения.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зависимости от условий радиационного воздействия выде</w:t>
        <w:softHyphen/>
        <w:t>ляют две основные формы ХЛБ, различающиеся по своей кли</w:t>
        <w:softHyphen/>
        <w:t>нической картине:</w:t>
      </w:r>
    </w:p>
    <w:p>
      <w:pPr>
        <w:pStyle w:val="Style34"/>
        <w:keepNext w:val="0"/>
        <w:keepLines w:val="0"/>
        <w:widowControl w:val="0"/>
        <w:numPr>
          <w:ilvl w:val="0"/>
          <w:numId w:val="115"/>
        </w:numPr>
        <w:shd w:val="clear" w:color="auto" w:fill="auto"/>
        <w:tabs>
          <w:tab w:pos="562" w:val="left"/>
        </w:tabs>
        <w:bidi w:val="0"/>
        <w:spacing w:before="0" w:after="0" w:line="230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хроническая лучевая болезнь, вызванная преимущественно внешним у-излучением или воздействием инкорпориро</w:t>
        <w:softHyphen/>
        <w:t>ванных радионуклидов, быстро и относительно равномер</w:t>
        <w:softHyphen/>
        <w:t>но распределяющихся во всех органах и системах организ</w:t>
        <w:softHyphen/>
        <w:t>ма (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3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Н, 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24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Na, 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137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Cs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 др.);</w:t>
      </w:r>
    </w:p>
    <w:p>
      <w:pPr>
        <w:pStyle w:val="Style34"/>
        <w:keepNext w:val="0"/>
        <w:keepLines w:val="0"/>
        <w:widowControl w:val="0"/>
        <w:numPr>
          <w:ilvl w:val="0"/>
          <w:numId w:val="115"/>
        </w:numPr>
        <w:shd w:val="clear" w:color="auto" w:fill="auto"/>
        <w:tabs>
          <w:tab w:pos="566" w:val="left"/>
        </w:tabs>
        <w:bidi w:val="0"/>
        <w:spacing w:before="0" w:after="0" w:line="228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хроническая лучевая болезнь, вызванная инкорпорацией радионуклидов с четко выраженной избирательностью де</w:t>
        <w:softHyphen/>
        <w:t xml:space="preserve">понирования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(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226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Ra, 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89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Sr, </w:t>
      </w:r>
      <w:r>
        <w:rPr>
          <w:spacing w:val="0"/>
          <w:w w:val="100"/>
          <w:position w:val="0"/>
          <w:shd w:val="clear" w:color="auto" w:fill="auto"/>
          <w:vertAlign w:val="superscript"/>
          <w:lang w:val="en-US" w:eastAsia="en-US" w:bidi="en-US"/>
        </w:rPr>
        <w:t>90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Sr, 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210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Ро и др.) или местным об</w:t>
        <w:softHyphen/>
        <w:t>лучением от внешних источников; иногда в литературе эту форму патологии называют хронической лучевой болезнью от резко неравномерного облучения.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Характерными особенностями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ХЛБ от общего относительно равномерного облучения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являются:</w:t>
      </w:r>
    </w:p>
    <w:p>
      <w:pPr>
        <w:pStyle w:val="Style34"/>
        <w:keepNext w:val="0"/>
        <w:keepLines w:val="0"/>
        <w:widowControl w:val="0"/>
        <w:numPr>
          <w:ilvl w:val="0"/>
          <w:numId w:val="115"/>
        </w:numPr>
        <w:shd w:val="clear" w:color="auto" w:fill="auto"/>
        <w:tabs>
          <w:tab w:pos="562" w:val="left"/>
        </w:tabs>
        <w:bidi w:val="0"/>
        <w:spacing w:before="0" w:after="0" w:line="228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сочетание несильно выраженных и медленно прогрессиру</w:t>
        <w:softHyphen/>
        <w:t>ющих изменений в органах и тканях с высокой активно</w:t>
        <w:softHyphen/>
        <w:t>стью физиологических репаративных процессов (в первую очередь, система кроветворения) с сопутствующими реак</w:t>
        <w:softHyphen/>
        <w:t>циями нервно-эндокринной и сердечно-сосудистой сис</w:t>
        <w:softHyphen/>
        <w:t>тем;</w:t>
      </w:r>
    </w:p>
    <w:p>
      <w:pPr>
        <w:pStyle w:val="Style34"/>
        <w:keepNext w:val="0"/>
        <w:keepLines w:val="0"/>
        <w:widowControl w:val="0"/>
        <w:numPr>
          <w:ilvl w:val="0"/>
          <w:numId w:val="115"/>
        </w:numPr>
        <w:shd w:val="clear" w:color="auto" w:fill="auto"/>
        <w:tabs>
          <w:tab w:pos="562" w:val="left"/>
        </w:tabs>
        <w:bidi w:val="0"/>
        <w:spacing w:before="0" w:after="0" w:line="226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зависимость темпа развития тяжести клинических проявле</w:t>
        <w:softHyphen/>
        <w:t>ний и стойкости этих изменений от суммарной дозы и ин</w:t>
        <w:softHyphen/>
        <w:t>тенсивности радиационного воздействия;</w:t>
      </w:r>
    </w:p>
    <w:p>
      <w:pPr>
        <w:pStyle w:val="Style34"/>
        <w:keepNext w:val="0"/>
        <w:keepLines w:val="0"/>
        <w:widowControl w:val="0"/>
        <w:numPr>
          <w:ilvl w:val="0"/>
          <w:numId w:val="115"/>
        </w:numPr>
        <w:shd w:val="clear" w:color="auto" w:fill="auto"/>
        <w:tabs>
          <w:tab w:pos="566" w:val="left"/>
        </w:tabs>
        <w:bidi w:val="0"/>
        <w:spacing w:before="0" w:after="0" w:line="228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длительность и волнообразность течения заболевания, свя</w:t>
        <w:softHyphen/>
        <w:t>занные с варьирующим распределением дозы во времени и являющиеся отражением сочетания эффектов поражения с восстановительными и компенсаторно-приспособительны</w:t>
        <w:softHyphen/>
        <w:t>ми реакциями.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  <w:sectPr>
          <w:headerReference w:type="default" r:id="rId468"/>
          <w:footerReference w:type="default" r:id="rId469"/>
          <w:headerReference w:type="even" r:id="rId470"/>
          <w:footerReference w:type="even" r:id="rId471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17" w:right="884" w:bottom="794" w:left="1234" w:header="489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Выраженным клиническим проявлениям ХЛБ от общего равномерного облучения, как правило, предшествует началь-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ный, преимущественно адаптивный по своей сути сдвиг регуля</w:t>
        <w:softHyphen/>
        <w:t>ции, который наиболее отчетливо проявляется при длительном внешнем облучении в сравнительно низких дозах, близких к предельно допустимым. Проявляется это в виде нестойкой лей</w:t>
        <w:softHyphen/>
        <w:t>копении, появлении признаков астенизации, вегетативно-сосу</w:t>
        <w:softHyphen/>
        <w:t>дистой неустойчивости и других неспецифических симптомах, связанных не только с действием ионизирующих излучений, но и других экзо- и эндогенных факторов, что существенно затруд</w:t>
        <w:softHyphen/>
        <w:t>няет диагностику ХЛБ. Точному установлению диагноза ХЛБ в таких случаях может помочь лишь длительное динамическое на</w:t>
        <w:softHyphen/>
        <w:t>блюдение за больным после прекращения облучения хотя бы на 6—12 месяцев. При этом неспецифический адаптивный синдром может сгладиться, как это характерно для проявлений «ориенти</w:t>
        <w:softHyphen/>
        <w:t>ровочной реакции», не перерастая в типичные признаки ХЛБ. В противном случае диагностируют ХЛБ, критерием перехода к которой, помимо закономерного возрастания интенсивности или накопления определенной суммарной дозы облучения, яв</w:t>
        <w:softHyphen/>
        <w:t>ляется возникновение признаков некомпенсируемой альтера</w:t>
        <w:softHyphen/>
        <w:t>ции в наиболее радиопоражаемых органах и системах, и прежде всего системе кроветворения.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 связи с этим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 периоде формирования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ХЛБ ведущим синдро</w:t>
        <w:softHyphen/>
        <w:t xml:space="preserve">мом, во многом определяющим тяжесть течения заболевания, является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костномозговой синдром,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который проявляется прежде всего уменьшением общего количества лейкоцитов, абсолютно</w:t>
        <w:softHyphen/>
        <w:t>го числа нейтрофилов и лимфоцитов, снижением количества тромбоцитов, а в ряде случаев (при высокой мощности дозы) — и числа эритроцитов в периферической крови. В костном мозге уменьшается число молодых форм гранулоцитарного ростка, снижается количество мегакариоцитов, а при тяжелом пораже</w:t>
        <w:softHyphen/>
        <w:t>нии выявляется и падение уровня эритронормобластов. Глубина изменений в периферической крови и костном мозге четко кор</w:t>
        <w:softHyphen/>
        <w:t>релирует с мощностью дозы и суммарной дозой облучения, а клиническая выраженность костномозгового синдрома опреде</w:t>
        <w:softHyphen/>
        <w:t>ляет степень тяжести ХЛБ: от нестойкого снижения количества лейкоцитов и тромбоцитов (I степень) до развития апластиче</w:t>
        <w:softHyphen/>
        <w:t>ского состояния кроветворения (IV степень).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360"/>
        <w:jc w:val="both"/>
        <w:sectPr>
          <w:headerReference w:type="default" r:id="rId472"/>
          <w:footerReference w:type="default" r:id="rId473"/>
          <w:headerReference w:type="even" r:id="rId474"/>
          <w:footerReference w:type="even" r:id="rId475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14" w:right="480" w:bottom="788" w:left="1637" w:header="486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Наряду с нарушениями в системе кроветворения в периоде формирования ХЛБ могут быть выявлены и сопутствующие им нервно-регуляторные расстройства, проявляющиеся в виде син</w:t>
        <w:softHyphen/>
        <w:t>дрома нарушения нервно-сосудистой регуляции, астенического синдрома и в тяжелых случаях — синдрома органических изме-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нений нервной системы. В ряде случаев у пациентов определяет</w:t>
        <w:softHyphen/>
        <w:t>ся снижение секреторной функции желудка, легкая дисфункция щитовидной железы, нарушение обменных процессов в миокар</w:t>
        <w:softHyphen/>
        <w:t>де и другие проявления.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 выраженности клинических проявлений вышеперечис</w:t>
        <w:softHyphen/>
        <w:t xml:space="preserve">ленных синдромов в период формирования устанавливают и степень тяжести ХЛБ. По мнению А. К. Гуськовой и Г. Д. Бай- соголова (1971), для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ХЛБ I (легкой) степени тяжести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характер</w:t>
        <w:softHyphen/>
        <w:t>ным является клинический синдром начальных, нерезко выра</w:t>
        <w:softHyphen/>
        <w:t>женных, преимущественно нервно-регуляторных нарушений в деятельности различных органов и систем (особенно сердеч</w:t>
        <w:softHyphen/>
        <w:t>но-сосудистой), а также наличие нестойкой умеренной лейкопе</w:t>
        <w:softHyphen/>
        <w:t>нии и реже тромбоцитопении.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ХЛБ II (средней) степени тяжести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характеризуется дальней</w:t>
        <w:softHyphen/>
        <w:t>шим углублением регуляторных нарушений с появлением при</w:t>
        <w:softHyphen/>
        <w:t>знаков отчетливой функциональной недостаточности, особенно нервной и сердечно-сосудистой систем, а иногда и пищеварите</w:t>
        <w:softHyphen/>
        <w:t>льных желез. На фоне функциональных сдвигов выявляются и признаки анатомического повреждения отдельных наиболее ра</w:t>
        <w:softHyphen/>
        <w:t>диочувствительных тканей и структур: несильно выраженное ги</w:t>
        <w:softHyphen/>
        <w:t>попластическое состояние кроветворения с наличием стойкой умеренной лейкопении и тромбоцитопении, изменения в мие</w:t>
        <w:softHyphen/>
        <w:t>лине проводящих путей центральной нервной системы, а также нарушения некоторых обменных процессов.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При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ХЛБ III (тяжелой) степени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возникают признаки сущест</w:t>
        <w:softHyphen/>
        <w:t>венного преобладания деструктивных процессов в кроветворной ткани, включая и эритробластический росток (анемия). Развива</w:t>
        <w:softHyphen/>
        <w:t>ются атрофические процессы в слизистой оболочке желудоч</w:t>
        <w:softHyphen/>
        <w:t>но-кишечного тракта и дистрофические микроструктурные из</w:t>
        <w:softHyphen/>
        <w:t>менения в относительно радиорезистентных органах: в сердеч</w:t>
        <w:softHyphen/>
        <w:t>ной мышце — миокардиодистрофия, в нервной системе — рассеянный энцефаломиелоз. При тяжелой степени поражения вследствие ослабления общего иммунитета возможны инфекци</w:t>
        <w:softHyphen/>
        <w:t>онно-септические осложнения. Наблюдаются отчетливые кли</w:t>
        <w:softHyphen/>
        <w:t>нические признаки геморрагического синдрома, циркуляторные расстройства. У наиболее тяжелобольных развиваются диарея, кахексия. Однако такого рода поражения в настоящее время мало реальны, поэтому выделение в классификации ХЛБ IV (крайне тяжелой) степени во многом является условным.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  <w:sectPr>
          <w:headerReference w:type="default" r:id="rId476"/>
          <w:footerReference w:type="default" r:id="rId477"/>
          <w:headerReference w:type="even" r:id="rId478"/>
          <w:footerReference w:type="even" r:id="rId479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48" w:right="873" w:bottom="848" w:left="1238" w:header="420" w:footer="3" w:gutter="0"/>
          <w:cols w:space="720"/>
          <w:noEndnote/>
          <w:rtlGutter w:val="0"/>
          <w:docGrid w:linePitch="360"/>
        </w:sectPr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Период восстановления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ХЛБ характеризуется сглаживанием деструктивных и отчетливым преобладанием репаративных про-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цессов в наиболее радиопоражаемых тканях, быстро реагирую</w:t>
        <w:softHyphen/>
        <w:t>щих на отмену или резкое уменьшение интенсивности облуче</w:t>
        <w:softHyphen/>
        <w:t>ния. Кроме того, в этот период происходит становление новых форм регуляторной деятельности органов и систем организма, иногда с той или иной степенью их функциональной недоста</w:t>
        <w:softHyphen/>
        <w:t>точности. Клинически это проявляется достаточно быстрым регрессом функциональных нарушений, выявляемых в период формирования ХЛБ, постепенным восстановлением показате</w:t>
        <w:softHyphen/>
        <w:t>лей крови и уменьшением выраженности неврологической сим</w:t>
        <w:softHyphen/>
        <w:t>птоматики. Темп восстановления и его полнота зависят от сум</w:t>
        <w:softHyphen/>
        <w:t>марной дозы облучения и ее интенсивности: чем меньше доза и мощность дозы, тем быстрее и качественнее протекает восста</w:t>
        <w:softHyphen/>
        <w:t>новление.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Период последствий и исходов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ХЛБ, вызванной относительно равномерным облучением, в ранние сроки может характеризо</w:t>
        <w:softHyphen/>
        <w:t>ваться полным клиническим выздоровлением или восстановле</w:t>
        <w:softHyphen/>
        <w:t>нием с компенсированным дефектом (например, компенсиро</w:t>
        <w:softHyphen/>
        <w:t>ванные парциальные или общие гипопластические состояния кроветворения). В более поздние сроки возможно развитие бластомогенных эффектов, а также ускорение инволюционных процессов.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В клинической картине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>ХЛБ, вызванной инкорпорацией ра</w:t>
        <w:softHyphen/>
        <w:t xml:space="preserve">дионуклидов с четко выраженной избирательностью депонирования или местным облучением от внешних источников,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выделяют целый ряд особенностей, связанных главным образом с резко выражен</w:t>
        <w:softHyphen/>
        <w:t>ной неравномерностью облучения. Характерными чертами дан</w:t>
        <w:softHyphen/>
        <w:t>ной формы ХЛБ являются:</w:t>
      </w:r>
    </w:p>
    <w:p>
      <w:pPr>
        <w:pStyle w:val="Style34"/>
        <w:keepNext w:val="0"/>
        <w:keepLines w:val="0"/>
        <w:widowControl w:val="0"/>
        <w:numPr>
          <w:ilvl w:val="0"/>
          <w:numId w:val="117"/>
        </w:numPr>
        <w:shd w:val="clear" w:color="auto" w:fill="auto"/>
        <w:tabs>
          <w:tab w:pos="562" w:val="left"/>
        </w:tabs>
        <w:bidi w:val="0"/>
        <w:spacing w:before="0" w:after="0" w:line="228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относительно ранее развитие нарушений деятельности от</w:t>
        <w:softHyphen/>
        <w:t>дельных структур или целых критических органов на фоне отсутствия или слабой выраженности общих реакций орга</w:t>
        <w:softHyphen/>
        <w:t>низма и изменений в непораженных органах и системах на начальных этапах развития заболевания;</w:t>
      </w:r>
    </w:p>
    <w:p>
      <w:pPr>
        <w:pStyle w:val="Style34"/>
        <w:keepNext w:val="0"/>
        <w:keepLines w:val="0"/>
        <w:widowControl w:val="0"/>
        <w:numPr>
          <w:ilvl w:val="0"/>
          <w:numId w:val="117"/>
        </w:numPr>
        <w:shd w:val="clear" w:color="auto" w:fill="auto"/>
        <w:tabs>
          <w:tab w:pos="566" w:val="left"/>
        </w:tabs>
        <w:bidi w:val="0"/>
        <w:spacing w:before="0" w:after="0" w:line="233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преобладание местных изменений в органах и тканях над общими реакциями организма на всем протяжении заболе</w:t>
        <w:softHyphen/>
        <w:t>вания;</w:t>
      </w:r>
    </w:p>
    <w:p>
      <w:pPr>
        <w:pStyle w:val="Style34"/>
        <w:keepNext w:val="0"/>
        <w:keepLines w:val="0"/>
        <w:widowControl w:val="0"/>
        <w:numPr>
          <w:ilvl w:val="0"/>
          <w:numId w:val="117"/>
        </w:numPr>
        <w:shd w:val="clear" w:color="auto" w:fill="auto"/>
        <w:tabs>
          <w:tab w:pos="566" w:val="left"/>
        </w:tabs>
        <w:bidi w:val="0"/>
        <w:spacing w:before="0" w:after="0" w:line="233" w:lineRule="auto"/>
        <w:ind w:left="500" w:right="0" w:hanging="1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нечеткая клиническая очерченность отдельных периодов заболевания;</w:t>
      </w:r>
    </w:p>
    <w:p>
      <w:pPr>
        <w:pStyle w:val="Style34"/>
        <w:keepNext w:val="0"/>
        <w:keepLines w:val="0"/>
        <w:widowControl w:val="0"/>
        <w:numPr>
          <w:ilvl w:val="0"/>
          <w:numId w:val="117"/>
        </w:numPr>
        <w:shd w:val="clear" w:color="auto" w:fill="auto"/>
        <w:tabs>
          <w:tab w:pos="562" w:val="left"/>
        </w:tabs>
        <w:bidi w:val="0"/>
        <w:spacing w:before="0" w:after="0" w:line="228" w:lineRule="auto"/>
        <w:ind w:left="500" w:right="0" w:hanging="160"/>
        <w:jc w:val="both"/>
        <w:sectPr>
          <w:headerReference w:type="default" r:id="rId480"/>
          <w:footerReference w:type="default" r:id="rId481"/>
          <w:headerReference w:type="even" r:id="rId482"/>
          <w:footerReference w:type="even" r:id="rId483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63" w:right="473" w:bottom="849" w:left="1649" w:header="435" w:footer="3" w:gutter="0"/>
          <w:pgNumType w:start="19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определяющая значимость суммарной величины дозы об</w:t>
        <w:softHyphen/>
        <w:t>лучения, ее пространственного распределения и мощности в отношении степени тяжести заболевания.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Так, при продолжающемся облучении от инкорпорирован</w:t>
        <w:softHyphen/>
        <w:t xml:space="preserve">ных радионуклидов радия, плутония, стронция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период формиро</w:t>
        <w:softHyphen/>
        <w:t>вания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заболевания длительное время протекает скрытно, отражая значительные возможности компенсации функций при ограни</w:t>
        <w:softHyphen/>
        <w:t>ченном поражении критических структур органа (легкие, пе</w:t>
        <w:softHyphen/>
        <w:t>чень, костный мозг и кости). Клиническая манифестация ХЛБ свидетельствует, как правило, о далеко зашедшей несостоятель</w:t>
        <w:softHyphen/>
        <w:t>ности органа. Следует помнить, что даже при снижении лучевой нагрузки на паренхиму «критического» органа полное клиниче</w:t>
        <w:softHyphen/>
        <w:t>ское восстановление возможно в весьма ограниченной степени, так как радионуклиды депонируются в соответствующих органах и тканях и добиться полного прекращения радиационного воз</w:t>
        <w:softHyphen/>
        <w:t>действия в таких случаях практически невозможно.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 уже указывалось выше, клинические проявления как в период их формирования, так и по отдаленным последствиям отличаются избирательным поражением органов основного де</w:t>
        <w:softHyphen/>
        <w:t>понирования или преимущественно локального облучения (на</w:t>
        <w:softHyphen/>
        <w:t>пример, в случаях лучевой терапии).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Так, для ситуаций преимущественного облучения органов дыхания (ингаляция плутония или радона и его дочерних про</w:t>
        <w:softHyphen/>
        <w:t>дуктов) характерны такие детерминированные эффекты, как бронхит, лучевой пульмонит с исходом в пневмофиброз, а при инкорпорации плутония возможно развитие и пневмосклероза. В отдаленные сроки могут также регистрироваться стохастиче</w:t>
        <w:softHyphen/>
        <w:t>ские эффекты облучения, например бронхогенный рак легкого.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поступлении в организм гепатотропных, особенно, рас</w:t>
        <w:softHyphen/>
        <w:t>творимых соединений радионуклидов (полоний, торий, плуто</w:t>
        <w:softHyphen/>
        <w:t>ний) могут наблюдаться признаки печеночной ферментопатии и хронического гепатита с исходом в цирроз, а в отдаленные сроки и такие опухолевые заболевания печени, как рак и гемангиосар- комы.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  <w:sectPr>
          <w:headerReference w:type="default" r:id="rId484"/>
          <w:footerReference w:type="default" r:id="rId485"/>
          <w:headerReference w:type="even" r:id="rId486"/>
          <w:footerReference w:type="even" r:id="rId487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64" w:right="914" w:bottom="847" w:left="1207" w:header="436" w:footer="3" w:gutter="0"/>
          <w:pgNumType w:start="19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Хронические формы заболеваний от радиоактивного йода ограничиваются первичным избирательным поражением щито</w:t>
        <w:softHyphen/>
        <w:t>видной железы. К детерминированным эффектам больших доз от изотопов йода относятся аплазия и гипоплазия щитовидной железы с признаками подавления ее функции. При меньших до</w:t>
        <w:softHyphen/>
        <w:t>зах наблюдается учащение узелковых образований в железе и возможно развитие рака. При этом, как и для всех стохастиче</w:t>
        <w:softHyphen/>
        <w:t>ских эффектов, в формировании рака щитовидной железы боль</w:t>
        <w:softHyphen/>
        <w:t>шое значение имеют другие экзогенные и эндогенные факторы (пол, возраст, йодная недостаточность в среде обитания и др.).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Возможности восстановления избирательно пораженного органа и компенсации его функциональной недостаточности при этом варианте ХЛБ весьма ограничены. Это связано с тем, что истинной репарации поврежденного участка органа чаще всего не происходит, а компенсация возникшего дефекта осуще</w:t>
        <w:softHyphen/>
        <w:t>ствляется преимущественно за счет усиленной деятельности ме</w:t>
        <w:softHyphen/>
        <w:t>нее поврежденных структур, по типу их гиперплазии или гипер</w:t>
        <w:softHyphen/>
        <w:t>функции. В результате происходит не восстановление, а скорее, неполный регресс несильно выраженных клинических проявле</w:t>
        <w:softHyphen/>
        <w:t>ний, а при больших суммарных дозах и их высоких интенсивно</w:t>
        <w:softHyphen/>
        <w:t>стях — совпадение периода формирования выраженных клини</w:t>
        <w:softHyphen/>
        <w:t>ческих проявлений с признаками их дальнейшего неуклонного прогрессирования со стабилизацией возникших изменений и даже с возможностью прогрессирования и неблагоприятного ис</w:t>
        <w:softHyphen/>
        <w:t>хода заболевания. Поэтому в клинической картине данного ва</w:t>
        <w:softHyphen/>
        <w:t xml:space="preserve">рианта ХЛБ очень часто не представляется возможным четко выделить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период восстановления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с протекающими в нем репара</w:t>
        <w:softHyphen/>
        <w:t>тивными и компенсаторно-приспособительными процессами от возникших в периоде формирования гипопластических и дист</w:t>
        <w:softHyphen/>
        <w:t>рофических изменений в пораженных органах.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520" w:line="240" w:lineRule="auto"/>
        <w:ind w:left="0" w:right="0"/>
        <w:jc w:val="both"/>
      </w:pPr>
      <w:bookmarkStart w:id="103" w:name="bookmark103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Отличительной особенностью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периода последствий и исходов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этой формы ХЛБ будет являться преимущественная локализа</w:t>
        <w:softHyphen/>
        <w:t>ция поражений, а следовательно, и развития инволюционных и бластомогенных процессов в органах избирательного депониро</w:t>
        <w:softHyphen/>
        <w:t>вания радионуклидов. Тем не менее, как и в случае ХЛБ от рав</w:t>
        <w:softHyphen/>
        <w:t>номерного облучения, могут наблюдаться и такие формы отда</w:t>
        <w:softHyphen/>
        <w:t>ленных последствий, как гипопластическое состояние кроветво</w:t>
        <w:softHyphen/>
        <w:t>рения, сокращение продолжительности жизни и т. п.</w:t>
      </w:r>
      <w:bookmarkEnd w:id="103"/>
    </w:p>
    <w:p>
      <w:pPr>
        <w:pStyle w:val="Style44"/>
        <w:keepNext/>
        <w:keepLines/>
        <w:widowControl w:val="0"/>
        <w:numPr>
          <w:ilvl w:val="1"/>
          <w:numId w:val="119"/>
        </w:numPr>
        <w:shd w:val="clear" w:color="auto" w:fill="auto"/>
        <w:tabs>
          <w:tab w:pos="433" w:val="left"/>
        </w:tabs>
        <w:bidi w:val="0"/>
        <w:spacing w:before="0" w:line="240" w:lineRule="auto"/>
        <w:ind w:left="0" w:right="0" w:firstLine="0"/>
        <w:jc w:val="center"/>
      </w:pPr>
      <w:bookmarkStart w:id="104" w:name="bookmark104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ОТДАЛЕННЫЕ ПОСЛЕДСТВИЯ ОБЛУЧЕНИЯ</w:t>
      </w:r>
      <w:bookmarkEnd w:id="104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У больных, перенесших различные формы острых лучевых пора</w:t>
        <w:softHyphen/>
        <w:t>жений, в течение длительного времени могут сохраняться оста</w:t>
        <w:softHyphen/>
        <w:t>точные явления и развиваться отдаленные последствия.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/>
        <w:jc w:val="both"/>
        <w:sectPr>
          <w:headerReference w:type="default" r:id="rId488"/>
          <w:footerReference w:type="default" r:id="rId489"/>
          <w:headerReference w:type="even" r:id="rId490"/>
          <w:footerReference w:type="even" r:id="rId491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27" w:right="451" w:bottom="827" w:left="1675" w:header="399" w:footer="3" w:gutter="0"/>
          <w:pgNumType w:start="192"/>
          <w:cols w:space="720"/>
          <w:noEndnote/>
          <w:rtlGutter w:val="0"/>
          <w:docGrid w:linePitch="360"/>
        </w:sectPr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Остаточные явления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чаще всего проявляются гипоплазией и дистрофией тканей, наиболее сильно поврежденных при облуче</w:t>
        <w:softHyphen/>
        <w:t>нии. Они являются следствием неполного восстановления по</w:t>
        <w:softHyphen/>
        <w:t>вреждений, лежавших в основе острого лучевого поражения: лейкопения, анемия, нарушения иммунитета, стерильность и др.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Отдаленные последствия облучения —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это развитие новых па</w:t>
        <w:softHyphen/>
        <w:t>тологических процессов, признаки которых в остром периоде лучевого поражения отсутствовали: склеротические и дистрофи</w:t>
        <w:softHyphen/>
        <w:t>ческие процессы, катаракта, новообразования и др.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Кроме того, у потомства облученных родителей в результате мутаций в герминативных клетках могут проявиться 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>генетиче</w:t>
        <w:softHyphen/>
        <w:t>ские последствия.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Среди форм отдаленной лучевой патологии можно выделить:</w:t>
      </w:r>
    </w:p>
    <w:p>
      <w:pPr>
        <w:pStyle w:val="Style34"/>
        <w:keepNext w:val="0"/>
        <w:keepLines w:val="0"/>
        <w:widowControl w:val="0"/>
        <w:numPr>
          <w:ilvl w:val="0"/>
          <w:numId w:val="121"/>
        </w:numPr>
        <w:shd w:val="clear" w:color="auto" w:fill="auto"/>
        <w:tabs>
          <w:tab w:pos="826" w:val="left"/>
        </w:tabs>
        <w:bidi w:val="0"/>
        <w:spacing w:before="0" w:after="0" w:line="230" w:lineRule="auto"/>
        <w:ind w:left="0" w:right="0" w:firstLine="6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неопухолевые отдаленные последствия;</w:t>
      </w:r>
    </w:p>
    <w:p>
      <w:pPr>
        <w:pStyle w:val="Style34"/>
        <w:keepNext w:val="0"/>
        <w:keepLines w:val="0"/>
        <w:widowControl w:val="0"/>
        <w:numPr>
          <w:ilvl w:val="0"/>
          <w:numId w:val="121"/>
        </w:numPr>
        <w:shd w:val="clear" w:color="auto" w:fill="auto"/>
        <w:tabs>
          <w:tab w:pos="822" w:val="left"/>
        </w:tabs>
        <w:bidi w:val="0"/>
        <w:spacing w:before="0" w:after="0" w:line="230" w:lineRule="auto"/>
        <w:ind w:left="0" w:right="0" w:firstLine="6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канцерогенные эффекты;</w:t>
      </w:r>
    </w:p>
    <w:p>
      <w:pPr>
        <w:pStyle w:val="Style34"/>
        <w:keepNext w:val="0"/>
        <w:keepLines w:val="0"/>
        <w:widowControl w:val="0"/>
        <w:numPr>
          <w:ilvl w:val="0"/>
          <w:numId w:val="121"/>
        </w:numPr>
        <w:shd w:val="clear" w:color="auto" w:fill="auto"/>
        <w:tabs>
          <w:tab w:pos="822" w:val="left"/>
        </w:tabs>
        <w:bidi w:val="0"/>
        <w:spacing w:before="0" w:after="0" w:line="230" w:lineRule="auto"/>
        <w:ind w:left="0" w:right="0" w:firstLine="6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сокращение продолжительности жизни.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Неопухолевые отдаленные последствия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относятся к числу де</w:t>
        <w:softHyphen/>
        <w:t>терминированных эффектов облучения, тяжесть которых зави</w:t>
        <w:softHyphen/>
        <w:t>сит главным образом от степени лучевого повреждения клеток соответствующих тканей и органов. Неопухолевые отдаленные последствия могут проявляться в виде:</w:t>
      </w:r>
    </w:p>
    <w:p>
      <w:pPr>
        <w:pStyle w:val="Style34"/>
        <w:keepNext w:val="0"/>
        <w:keepLines w:val="0"/>
        <w:widowControl w:val="0"/>
        <w:numPr>
          <w:ilvl w:val="0"/>
          <w:numId w:val="121"/>
        </w:numPr>
        <w:shd w:val="clear" w:color="auto" w:fill="auto"/>
        <w:tabs>
          <w:tab w:pos="562" w:val="left"/>
        </w:tabs>
        <w:bidi w:val="0"/>
        <w:spacing w:before="0" w:after="0" w:line="223" w:lineRule="auto"/>
        <w:ind w:left="500" w:right="0" w:hanging="16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функциональных расстройств регуляторных систем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(астено- невротический синдром, вегетососудистая дистония и т. п.);</w:t>
      </w:r>
    </w:p>
    <w:p>
      <w:pPr>
        <w:pStyle w:val="Style34"/>
        <w:keepNext w:val="0"/>
        <w:keepLines w:val="0"/>
        <w:widowControl w:val="0"/>
        <w:numPr>
          <w:ilvl w:val="0"/>
          <w:numId w:val="121"/>
        </w:numPr>
        <w:shd w:val="clear" w:color="auto" w:fill="auto"/>
        <w:tabs>
          <w:tab w:pos="537" w:val="left"/>
        </w:tabs>
        <w:bidi w:val="0"/>
        <w:spacing w:before="0" w:after="0" w:line="230" w:lineRule="auto"/>
        <w:ind w:left="0" w:right="0" w:firstLine="32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склеротических и дистрофических процессов',</w:t>
      </w:r>
    </w:p>
    <w:p>
      <w:pPr>
        <w:pStyle w:val="Style34"/>
        <w:keepNext w:val="0"/>
        <w:keepLines w:val="0"/>
        <w:widowControl w:val="0"/>
        <w:numPr>
          <w:ilvl w:val="0"/>
          <w:numId w:val="121"/>
        </w:numPr>
        <w:shd w:val="clear" w:color="auto" w:fill="auto"/>
        <w:tabs>
          <w:tab w:pos="562" w:val="left"/>
        </w:tabs>
        <w:bidi w:val="0"/>
        <w:spacing w:before="0" w:after="0" w:line="218" w:lineRule="auto"/>
        <w:ind w:left="500" w:right="0" w:hanging="16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гиперпластических процессов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(гиперплазия тканей щитовид</w:t>
        <w:softHyphen/>
        <w:t>ной железы и т. п.).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Еще одним видом неопухолевых последствий облучения яв</w:t>
        <w:softHyphen/>
        <w:t xml:space="preserve">ляется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лучевая катаракта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— пострадиационное помутнение хру</w:t>
        <w:softHyphen/>
        <w:t>сталика глаза, возникающее вследствие тотального облучения всего организма или местного облучения хрусталика. Лучевая катаракта может развиться после облучения области глаза при лучевой терапии опухолей лица и головы, у лиц, профессиональ</w:t>
        <w:softHyphen/>
        <w:t>но связанных с возможностью длительного воздействия потоков частиц и фотонных излучений, а также при радиационных ава</w:t>
        <w:softHyphen/>
        <w:t>риях. Пороговая доза для возникновения катаракты после од</w:t>
        <w:softHyphen/>
        <w:t>нократного рентгеновского облучения для глаза человека со</w:t>
        <w:softHyphen/>
        <w:t>ставляет 2 Гр, но при фракционировании дозы величина порога увеличивается. Наибольшей катарактогенной эффективностью обладают нейтроны (ОБЭ нейтронов по этому показателю в за</w:t>
        <w:softHyphen/>
        <w:t>висимости от их энергии оценивают от 4,5 до 9).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  <w:sectPr>
          <w:headerReference w:type="default" r:id="rId492"/>
          <w:footerReference w:type="default" r:id="rId493"/>
          <w:headerReference w:type="even" r:id="rId494"/>
          <w:footerReference w:type="even" r:id="rId495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42" w:right="969" w:bottom="807" w:left="1142" w:header="514" w:footer="3" w:gutter="0"/>
          <w:pgNumType w:start="194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формировании лучевой катаракты различают два периода: латентный (до выявления первых признаков заболевания) и пе</w:t>
        <w:softHyphen/>
        <w:t>риод прогрессирования, продолжающийся до стабилизации ка</w:t>
        <w:softHyphen/>
        <w:t>таракты или полного помутнения хрусталика. Длительность ла</w:t>
        <w:softHyphen/>
        <w:t>тентного периода возникновения лучевой катаракты обычно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950335" cy="1883410"/>
            <wp:docPr id="569" name="Picutre 56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9" name="Picture 569"/>
                    <pic:cNvPicPr/>
                  </pic:nvPicPr>
                  <pic:blipFill>
                    <a:blip r:embed="rId496"/>
                    <a:stretch/>
                  </pic:blipFill>
                  <pic:spPr>
                    <a:xfrm>
                      <a:ext cx="3950335" cy="18834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8"/>
        <w:keepNext w:val="0"/>
        <w:keepLines w:val="0"/>
        <w:widowControl w:val="0"/>
        <w:shd w:val="clear" w:color="auto" w:fill="auto"/>
        <w:bidi w:val="0"/>
        <w:spacing w:before="0" w:after="0" w:line="266" w:lineRule="auto"/>
        <w:ind w:left="0" w:right="0" w:firstLine="0"/>
        <w:jc w:val="center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Рис. 20.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Зависимость длительности латентного периода лучевой катаракты от дозы облучения у участников ликвидации последствий аварии на Чернобыльской АЭС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(по О. Г. Кашириной и соавт., 2001)</w:t>
      </w:r>
    </w:p>
    <w:p>
      <w:pPr>
        <w:widowControl w:val="0"/>
        <w:spacing w:after="159" w:line="1" w:lineRule="exact"/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составляет 2—5 лет, причем с увеличением возраста облученно</w:t>
        <w:softHyphen/>
        <w:t>го человека увеличивается и длительность латентного периода. На рис. 20 показана зависимость латентного периода лучевой катаракты от дозы однократного у-р-излучения.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Радиационный канцерогенез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относится к числу стохастических (или вероятностных) эффектов облучения.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Основной причиной злокачественной трансформации облу</w:t>
        <w:softHyphen/>
        <w:t>ченной клетки являются нелетальные повреждения генетиче</w:t>
        <w:softHyphen/>
        <w:t>ского материала или повышение нестабильности ядерной ДНК. В процессе репарации ее нелетальных повреждений возникают условия, способствующие включению онковируса в геном сома</w:t>
        <w:softHyphen/>
        <w:t>тической клетки или активации онковируса, уже находившегося в репрессированном состоянии в составе генома, с последующей раковой трансформацией.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  <w:sectPr>
          <w:headerReference w:type="default" r:id="rId498"/>
          <w:footerReference w:type="default" r:id="rId499"/>
          <w:headerReference w:type="even" r:id="rId500"/>
          <w:footerReference w:type="even" r:id="rId501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16" w:right="628" w:bottom="805" w:left="1508" w:header="488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Среди факторов, способствующих злокачественной транс</w:t>
        <w:softHyphen/>
        <w:t>формации клетки, выделяют расстройства гормональной регу</w:t>
        <w:softHyphen/>
        <w:t>ляции и нарушения иммунитета. Особенно велико значение расстройств гормональной регуляции при внутреннем радиоак</w:t>
        <w:softHyphen/>
        <w:t>тивном заражении, когда радионуклиды длительное время воз</w:t>
        <w:softHyphen/>
        <w:t>действуют на щитовидную железу, нарушая выработку ею гор</w:t>
        <w:softHyphen/>
        <w:t>монов, влияющих на функции других органов. Вследствие нару</w:t>
        <w:softHyphen/>
        <w:t>шений иммунитета облегчается развитие опухоли не только из трансформированных облучением клеток, но и из клеток, мута</w:t>
        <w:softHyphen/>
        <w:t>ции в которых возникли спонтанно или под влиянием других онкогенных факторов.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676015" cy="914400"/>
            <wp:docPr id="574" name="Picutre 57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4" name="Picture 574"/>
                    <pic:cNvPicPr/>
                  </pic:nvPicPr>
                  <pic:blipFill>
                    <a:blip r:embed="rId502"/>
                    <a:stretch/>
                  </pic:blipFill>
                  <pic:spPr>
                    <a:xfrm>
                      <a:ext cx="3676015" cy="9144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8"/>
        <w:keepNext w:val="0"/>
        <w:keepLines w:val="0"/>
        <w:widowControl w:val="0"/>
        <w:shd w:val="clear" w:color="auto" w:fill="auto"/>
        <w:tabs>
          <w:tab w:pos="1474" w:val="left"/>
          <w:tab w:pos="2227" w:val="left"/>
          <w:tab w:pos="2971" w:val="left"/>
          <w:tab w:pos="3725" w:val="left"/>
          <w:tab w:pos="4483" w:val="left"/>
          <w:tab w:pos="5251" w:val="left"/>
          <w:tab w:pos="6010" w:val="left"/>
        </w:tabs>
        <w:bidi w:val="0"/>
        <w:spacing w:before="0" w:after="10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 5</w:t>
        <w:tab/>
        <w:t>10</w:t>
        <w:tab/>
        <w:t>15</w:t>
        <w:tab/>
        <w:t>20</w:t>
        <w:tab/>
        <w:t>25</w:t>
        <w:tab/>
        <w:t>30</w:t>
        <w:tab/>
        <w:t>35</w:t>
        <w:tab/>
        <w:t>40</w:t>
      </w:r>
    </w:p>
    <w:p>
      <w:pPr>
        <w:pStyle w:val="Style48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Время после облучения, годы</w:t>
      </w:r>
    </w:p>
    <w:p>
      <w:pPr>
        <w:widowControl w:val="0"/>
        <w:spacing w:after="259" w:line="1" w:lineRule="exact"/>
      </w:pPr>
    </w:p>
    <w:p>
      <w:pPr>
        <w:pStyle w:val="Style15"/>
        <w:keepNext w:val="0"/>
        <w:keepLines w:val="0"/>
        <w:widowControl w:val="0"/>
        <w:shd w:val="clear" w:color="auto" w:fill="auto"/>
        <w:tabs>
          <w:tab w:leader="hyphen" w:pos="629" w:val="left"/>
          <w:tab w:leader="hyphen" w:pos="2621" w:val="left"/>
        </w:tabs>
        <w:bidi w:val="0"/>
        <w:spacing w:before="0" w:after="16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ab/>
        <w:t xml:space="preserve">Лейкемия </w:t>
        <w:tab/>
        <w:t>Все остальные виды рака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200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Рис. 21.</w:t>
      </w: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Зависимость величины онкологической заболеваемости и вида рака от сроков, прошедших после атомных бомбардировок Хиросимы и Нагасаки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Латентный период между радиационным воздействием и возникновением новообразований составляет в среднем 5—10 лет, но в некоторых случаях может достигать 30-35 лет. Общий вид зависимости интенсивности выявления радиационно-инду</w:t>
        <w:softHyphen/>
        <w:t>цированных онкологических заболеваний и их видов от време</w:t>
        <w:softHyphen/>
        <w:t>ни, прошедшего после облучения, представлен на рис. 21.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«Выход» опухолей на единицу дозы зависит от ряда факто</w:t>
        <w:softHyphen/>
        <w:t>ров, основные из которых — поглощенная доза, ее мощность, вид ионизирующего излучения и его свойства (ОБЭ нейтронов по риску возникновения злокачественных новообразований по</w:t>
        <w:softHyphen/>
        <w:t>сле облучения может превышать 10), условия воздействия. Веро</w:t>
        <w:softHyphen/>
        <w:t>ятность возникновения опухоли в результате радиационного воздействия оценивается как один дополнительный случай на 20 человек, облученных в дозе 1 Гр. При этом относительный риск возникновения злокачественных новообразований в течение всей жизни выше для людей, облученных в детском возрасте.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/>
        <w:jc w:val="both"/>
        <w:sectPr>
          <w:headerReference w:type="default" r:id="rId504"/>
          <w:footerReference w:type="default" r:id="rId505"/>
          <w:headerReference w:type="even" r:id="rId506"/>
          <w:footerReference w:type="even" r:id="rId507"/>
          <w:footnotePr>
            <w:pos w:val="pageBottom"/>
            <w:numFmt w:val="chicago"/>
            <w:numRestart w:val="continuous"/>
            <w15:footnoteColumns w:val="1"/>
          </w:footnotePr>
          <w:pgSz w:w="7291" w:h="12240"/>
          <w:pgMar w:top="1099" w:right="566" w:bottom="961" w:left="446" w:header="671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Интегральным проявлением отдаленных последствий облу</w:t>
        <w:softHyphen/>
        <w:t xml:space="preserve">чения является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 xml:space="preserve">сокращение средней продолжительности жизни.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 расчетным данным, радиационное воздействие приводит к сокращению средней видовой продолжительности жизни на 5—6% на каждый зиверт эквивалентной дозы общего однократ</w:t>
        <w:softHyphen/>
        <w:t>ного облучения. У человека сокращение продолжительности жизни может составить от 100 до 1000 суток на каждый 1 Гр острого облучения и порядка 8-10 суток на каждый 1 Зв хрони</w:t>
        <w:softHyphen/>
        <w:t>ческого облучения. Однако при дозах ниже 2 Гр само наличие сокращения продолжительности жизни признается не всеми исследователями.</w:t>
      </w:r>
    </w:p>
    <w:p>
      <w:pPr>
        <w:widowControl w:val="0"/>
        <w:spacing w:line="1" w:lineRule="exact"/>
      </w:pPr>
      <w:r>
        <w:drawing>
          <wp:anchor distT="0" distB="0" distL="114300" distR="114300" simplePos="0" relativeHeight="125829437" behindDoc="0" locked="0" layoutInCell="1" allowOverlap="1">
            <wp:simplePos x="0" y="0"/>
            <wp:positionH relativeFrom="page">
              <wp:posOffset>138430</wp:posOffset>
            </wp:positionH>
            <wp:positionV relativeFrom="paragraph">
              <wp:posOffset>12700</wp:posOffset>
            </wp:positionV>
            <wp:extent cx="457200" cy="6973570"/>
            <wp:wrapSquare wrapText="bothSides"/>
            <wp:docPr id="579" name="Shape 57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0" name="Picture box 580"/>
                    <pic:cNvPicPr/>
                  </pic:nvPicPr>
                  <pic:blipFill>
                    <a:blip r:embed="rId508"/>
                    <a:stretch/>
                  </pic:blipFill>
                  <pic:spPr>
                    <a:xfrm>
                      <a:ext cx="457200" cy="697357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анализе причин сокращения продолжительности жизни не удается выделить какой-нибудь типичный патологический процесс, непосредственно приводящий облученных особей к преждевременной гибели. В настоящее время считается, что основной причиной сокращения продолжительности жизни после облучения в сублетальных дозах являются повреждения капилляров и мелких артериол, приводящие к нарушению мик</w:t>
        <w:softHyphen/>
        <w:t>роциркуляции, гипоксии и гибели паренхиматозных клеток, преимущественно в органах иммунной системы и железах внут</w:t>
        <w:softHyphen/>
        <w:t>ренней секреции. Отчасти сокращение средней продолжитель</w:t>
        <w:softHyphen/>
        <w:t>ности жизни может быть связано и с более частым развитием у облученных людей злокачественных новообразований.</w:t>
      </w:r>
    </w:p>
    <w:p>
      <w:pPr>
        <w:pStyle w:val="Style8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both"/>
        <w:rPr>
          <w:sz w:val="19"/>
          <w:szCs w:val="19"/>
        </w:rPr>
      </w:pPr>
      <w:r>
        <w:rPr>
          <w:b/>
          <w:bCs/>
          <w:spacing w:val="0"/>
          <w:w w:val="100"/>
          <w:position w:val="0"/>
          <w:sz w:val="19"/>
          <w:szCs w:val="19"/>
          <w:shd w:val="clear" w:color="auto" w:fill="auto"/>
          <w:lang w:val="ru-RU" w:eastAsia="ru-RU" w:bidi="ru-RU"/>
        </w:rPr>
        <w:t>Литература для самоподготовки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54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Основная: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62" w:lineRule="auto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Военная токсикология, радиобиология и медицинская защита: Учебник / Под ред. С. А. Куценко. — СПб: Фолиант, 2004. — С. 448-456.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54" w:lineRule="auto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Практикум по токсикологии и медицинской защите: Учебное пособие / Под ред. А. Н. Гребенюка. — СПб: Фолиант, 2010. — С. 172-181.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0" w:line="254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Тестовые задания по военной токсикологии, радиобиологии и медицинской защите: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20" w:line="254" w:lineRule="auto"/>
        <w:ind w:left="0" w:right="0" w:firstLine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Учебное пособие / Под ред. С. А. Куценко. — СПб: Фолиант, 2005. — С. 152-157.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54" w:lineRule="auto"/>
        <w:ind w:left="0" w:right="0" w:firstLine="0"/>
        <w:jc w:val="left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Дополнительная: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54" w:lineRule="auto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Основы медицинской радиобиологии / Под ред. И. Б. Ушакова. — СПб: Фолиант, 2004. — С. 179-223, 303-311.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54" w:lineRule="auto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Радиобиология человека и животных: Учебное пособие / Под ред. С. П. Ярмонен- ко. — М.: Высшая школа, 2004. — С. 317-369, 414-423.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54" w:lineRule="auto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Радиационные поражения человека // Радиационная медицина / Под общ. ред. Л. А. Ильина. — М.: ИздАТ, 2001. — С. 253-274.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54" w:lineRule="auto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Радиационные поражения человека: Избранные клинические лекции / Под ред. А. Ю. Бушманова, В. Д. Ревы. — М.: Слово, 2007. — С. 85-101.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62" w:lineRule="auto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Радиация и патология: Учебное пособие / Под ред. А. Ф. Цыба. — М.: Высшая шко</w:t>
        <w:softHyphen/>
        <w:t>ла, 2005. — С. 209-240.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54" w:lineRule="auto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Клиническая радиология: Учебное пособие / Под ред. А. Е. Сосюкина. — М.: ГЭОТАР- Медиа, 2008. — С. 145-158, 168-177.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40" w:line="262" w:lineRule="auto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Средства профилактики и лечения лучевых поражений / М. В. Васин. — М.: РМАПО, 2006, —С. 151-187.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20" w:line="254" w:lineRule="auto"/>
        <w:ind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Медицинские средства профилактики и терапии радиационных поражений: Учеб</w:t>
        <w:softHyphen/>
        <w:t>ное пособие/А. Н. Гребенюк, В. И. Легеза, В. Б. Назаров, А. А. Тимошевский. — СПб: Фолиант, 2011, — С. 20-35.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Вопросы для самоконтроля</w:t>
      </w:r>
    </w:p>
    <w:p>
      <w:pPr>
        <w:pStyle w:val="Style34"/>
        <w:keepNext w:val="0"/>
        <w:keepLines w:val="0"/>
        <w:widowControl w:val="0"/>
        <w:numPr>
          <w:ilvl w:val="0"/>
          <w:numId w:val="123"/>
        </w:numPr>
        <w:shd w:val="clear" w:color="auto" w:fill="auto"/>
        <w:tabs>
          <w:tab w:pos="284" w:val="left"/>
        </w:tabs>
        <w:bidi w:val="0"/>
        <w:spacing w:before="0" w:after="40" w:line="228" w:lineRule="auto"/>
        <w:ind w:left="280" w:right="0" w:hanging="280"/>
        <w:jc w:val="both"/>
        <w:sectPr>
          <w:headerReference w:type="default" r:id="rId510"/>
          <w:footerReference w:type="default" r:id="rId511"/>
          <w:headerReference w:type="even" r:id="rId512"/>
          <w:footerReference w:type="even" r:id="rId513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54" w:right="454" w:bottom="581" w:left="166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радиационные поражения называют комбинированны</w:t>
        <w:softHyphen/>
        <w:t>ми? Какие этиологические факторы их вызывают? Как можно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3" w:lineRule="auto"/>
        <w:ind w:left="24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классифицировать комбинированные радиационные пораже</w:t>
        <w:softHyphen/>
        <w:t>ния?</w:t>
      </w:r>
    </w:p>
    <w:p>
      <w:pPr>
        <w:pStyle w:val="Style34"/>
        <w:keepNext w:val="0"/>
        <w:keepLines w:val="0"/>
        <w:widowControl w:val="0"/>
        <w:numPr>
          <w:ilvl w:val="0"/>
          <w:numId w:val="123"/>
        </w:numPr>
        <w:shd w:val="clear" w:color="auto" w:fill="auto"/>
        <w:tabs>
          <w:tab w:pos="294" w:val="left"/>
        </w:tabs>
        <w:bidi w:val="0"/>
        <w:spacing w:before="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Назовите особенности клинического течения комбинирован</w:t>
        <w:softHyphen/>
        <w:t>ных радиационных поражений. Что понимают под синдро</w:t>
        <w:softHyphen/>
        <w:t>мом взаимного отягощения? Какие периоды выделяют в кли</w:t>
        <w:softHyphen/>
        <w:t>нической картине комбинированных радиационных пораже</w:t>
        <w:softHyphen/>
        <w:t>ний?</w:t>
      </w:r>
    </w:p>
    <w:p>
      <w:pPr>
        <w:pStyle w:val="Style34"/>
        <w:keepNext w:val="0"/>
        <w:keepLines w:val="0"/>
        <w:widowControl w:val="0"/>
        <w:numPr>
          <w:ilvl w:val="0"/>
          <w:numId w:val="123"/>
        </w:numPr>
        <w:shd w:val="clear" w:color="auto" w:fill="auto"/>
        <w:tabs>
          <w:tab w:pos="289" w:val="left"/>
        </w:tabs>
        <w:bidi w:val="0"/>
        <w:spacing w:before="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Укажите особенности клинической симптоматики радиаци</w:t>
        <w:softHyphen/>
        <w:t>онно-механических поражений. Каковы особенности клини</w:t>
        <w:softHyphen/>
        <w:t>ческой картины радиационно-термических поражений?</w:t>
      </w:r>
    </w:p>
    <w:p>
      <w:pPr>
        <w:pStyle w:val="Style34"/>
        <w:keepNext w:val="0"/>
        <w:keepLines w:val="0"/>
        <w:widowControl w:val="0"/>
        <w:numPr>
          <w:ilvl w:val="0"/>
          <w:numId w:val="123"/>
        </w:numPr>
        <w:shd w:val="clear" w:color="auto" w:fill="auto"/>
        <w:tabs>
          <w:tab w:pos="294" w:val="left"/>
        </w:tabs>
        <w:bidi w:val="0"/>
        <w:spacing w:before="0" w:after="0" w:line="226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Дайте определение сочетанных радиационных поражений. Какие варианты сочетанных радиационных поражений вы можете назвать?</w:t>
      </w:r>
    </w:p>
    <w:p>
      <w:pPr>
        <w:pStyle w:val="Style34"/>
        <w:keepNext w:val="0"/>
        <w:keepLines w:val="0"/>
        <w:widowControl w:val="0"/>
        <w:numPr>
          <w:ilvl w:val="0"/>
          <w:numId w:val="123"/>
        </w:numPr>
        <w:shd w:val="clear" w:color="auto" w:fill="auto"/>
        <w:tabs>
          <w:tab w:pos="289" w:val="left"/>
        </w:tabs>
        <w:bidi w:val="0"/>
        <w:spacing w:before="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клинические формы хронической лучевой болезни су</w:t>
        <w:softHyphen/>
        <w:t>ществуют? Укажите особенности клинического течения хро</w:t>
        <w:softHyphen/>
        <w:t>нической лучевой болезни. Какими принципами руководст</w:t>
        <w:softHyphen/>
        <w:t>вуются при лечении хронической лучевой болезни?</w:t>
      </w:r>
    </w:p>
    <w:p>
      <w:pPr>
        <w:pStyle w:val="Style34"/>
        <w:keepNext w:val="0"/>
        <w:keepLines w:val="0"/>
        <w:widowControl w:val="0"/>
        <w:numPr>
          <w:ilvl w:val="0"/>
          <w:numId w:val="123"/>
        </w:numPr>
        <w:shd w:val="clear" w:color="auto" w:fill="auto"/>
        <w:tabs>
          <w:tab w:pos="289" w:val="left"/>
        </w:tabs>
        <w:bidi w:val="0"/>
        <w:spacing w:before="0" w:after="0" w:line="228" w:lineRule="auto"/>
        <w:ind w:left="24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Существуют ли особенности в биологических эффектах малых доз радиации? Если да, то дайте их характеристику.</w:t>
      </w:r>
    </w:p>
    <w:p>
      <w:pPr>
        <w:pStyle w:val="Style34"/>
        <w:keepNext w:val="0"/>
        <w:keepLines w:val="0"/>
        <w:widowControl w:val="0"/>
        <w:numPr>
          <w:ilvl w:val="0"/>
          <w:numId w:val="123"/>
        </w:numPr>
        <w:shd w:val="clear" w:color="auto" w:fill="auto"/>
        <w:tabs>
          <w:tab w:pos="289" w:val="left"/>
        </w:tabs>
        <w:bidi w:val="0"/>
        <w:spacing w:before="0" w:after="0" w:line="226" w:lineRule="auto"/>
        <w:ind w:left="240" w:right="0" w:hanging="240"/>
        <w:jc w:val="both"/>
        <w:sectPr>
          <w:headerReference w:type="default" r:id="rId514"/>
          <w:footerReference w:type="default" r:id="rId515"/>
          <w:headerReference w:type="even" r:id="rId516"/>
          <w:footerReference w:type="even" r:id="rId517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025" w:right="933" w:bottom="1025" w:left="1207" w:header="597" w:footer="597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Назовите отдаленные последствия облучения. Какие механиз</w:t>
        <w:softHyphen/>
        <w:t>мы лежат в основе формирования отдаленных последствий облучения?</w:t>
      </w:r>
    </w:p>
    <w:p>
      <w:pPr>
        <w:pStyle w:val="Style8"/>
        <w:keepNext w:val="0"/>
        <w:keepLines w:val="0"/>
        <w:widowControl w:val="0"/>
        <w:shd w:val="clear" w:color="auto" w:fill="auto"/>
        <w:bidi w:val="0"/>
        <w:spacing w:before="0" w:after="46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ТЕСТОВЫЕ ЗАДАНИЯ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lef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footnoteReference w:id="14"/>
      </w:r>
    </w:p>
    <w:p>
      <w:pPr>
        <w:pStyle w:val="Style44"/>
        <w:keepNext/>
        <w:keepLines/>
        <w:widowControl w:val="0"/>
        <w:numPr>
          <w:ilvl w:val="0"/>
          <w:numId w:val="125"/>
        </w:numPr>
        <w:shd w:val="clear" w:color="auto" w:fill="auto"/>
        <w:tabs>
          <w:tab w:pos="329" w:val="left"/>
        </w:tabs>
        <w:bidi w:val="0"/>
        <w:spacing w:before="0" w:after="0" w:line="230" w:lineRule="auto"/>
        <w:ind w:left="0" w:right="0" w:firstLine="0"/>
        <w:jc w:val="both"/>
      </w:pPr>
      <w:bookmarkStart w:id="106" w:name="bookmark106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Предметом изучения радиобиологии являются:</w:t>
      </w:r>
      <w:bookmarkEnd w:id="106"/>
    </w:p>
    <w:p>
      <w:pPr>
        <w:pStyle w:val="Style34"/>
        <w:keepNext w:val="0"/>
        <w:keepLines w:val="0"/>
        <w:widowControl w:val="0"/>
        <w:numPr>
          <w:ilvl w:val="0"/>
          <w:numId w:val="127"/>
        </w:numPr>
        <w:shd w:val="clear" w:color="auto" w:fill="auto"/>
        <w:tabs>
          <w:tab w:pos="979" w:val="left"/>
        </w:tabs>
        <w:bidi w:val="0"/>
        <w:spacing w:before="0" w:after="0" w:line="230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радиационные эффекты на молекулярном, клеточном, тканевом, организменном уровнях организации живого</w:t>
      </w:r>
    </w:p>
    <w:p>
      <w:pPr>
        <w:pStyle w:val="Style34"/>
        <w:keepNext w:val="0"/>
        <w:keepLines w:val="0"/>
        <w:widowControl w:val="0"/>
        <w:numPr>
          <w:ilvl w:val="0"/>
          <w:numId w:val="127"/>
        </w:numPr>
        <w:shd w:val="clear" w:color="auto" w:fill="auto"/>
        <w:tabs>
          <w:tab w:pos="993" w:val="left"/>
        </w:tabs>
        <w:bidi w:val="0"/>
        <w:spacing w:before="0" w:after="0" w:line="230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механизмы развития радиационных эффектов в живых системах</w:t>
      </w:r>
    </w:p>
    <w:p>
      <w:pPr>
        <w:pStyle w:val="Style34"/>
        <w:keepNext w:val="0"/>
        <w:keepLines w:val="0"/>
        <w:widowControl w:val="0"/>
        <w:numPr>
          <w:ilvl w:val="0"/>
          <w:numId w:val="127"/>
        </w:numPr>
        <w:shd w:val="clear" w:color="auto" w:fill="auto"/>
        <w:tabs>
          <w:tab w:pos="993" w:val="left"/>
        </w:tabs>
        <w:bidi w:val="0"/>
        <w:spacing w:before="0" w:after="0" w:line="230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модифицирующие влияния на проявления биологиче</w:t>
        <w:softHyphen/>
        <w:t>ских эффектов радиации</w:t>
      </w:r>
    </w:p>
    <w:p>
      <w:pPr>
        <w:pStyle w:val="Style34"/>
        <w:keepNext w:val="0"/>
        <w:keepLines w:val="0"/>
        <w:widowControl w:val="0"/>
        <w:numPr>
          <w:ilvl w:val="0"/>
          <w:numId w:val="127"/>
        </w:numPr>
        <w:shd w:val="clear" w:color="auto" w:fill="auto"/>
        <w:tabs>
          <w:tab w:pos="998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самопроизвольный распад радиоэлементов</w:t>
      </w:r>
    </w:p>
    <w:p>
      <w:pPr>
        <w:pStyle w:val="Style34"/>
        <w:keepNext w:val="0"/>
        <w:keepLines w:val="0"/>
        <w:widowControl w:val="0"/>
        <w:numPr>
          <w:ilvl w:val="0"/>
          <w:numId w:val="127"/>
        </w:numPr>
        <w:shd w:val="clear" w:color="auto" w:fill="auto"/>
        <w:tabs>
          <w:tab w:pos="993" w:val="left"/>
        </w:tabs>
        <w:bidi w:val="0"/>
        <w:spacing w:before="0" w:after="0" w:line="230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распад ядра атомов тяжелых элементов под влиянием воздействия нейтронов</w:t>
      </w:r>
    </w:p>
    <w:p>
      <w:pPr>
        <w:pStyle w:val="Style34"/>
        <w:keepNext w:val="0"/>
        <w:keepLines w:val="0"/>
        <w:widowControl w:val="0"/>
        <w:numPr>
          <w:ilvl w:val="0"/>
          <w:numId w:val="127"/>
        </w:numPr>
        <w:shd w:val="clear" w:color="auto" w:fill="auto"/>
        <w:tabs>
          <w:tab w:pos="998" w:val="left"/>
        </w:tabs>
        <w:bidi w:val="0"/>
        <w:spacing w:before="0" w:after="0" w:line="230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модификация действия ионизирующего излучения на живое факторами нерадиационной природы</w:t>
      </w:r>
    </w:p>
    <w:p>
      <w:pPr>
        <w:pStyle w:val="Style34"/>
        <w:keepNext w:val="0"/>
        <w:keepLines w:val="0"/>
        <w:widowControl w:val="0"/>
        <w:numPr>
          <w:ilvl w:val="0"/>
          <w:numId w:val="127"/>
        </w:numPr>
        <w:shd w:val="clear" w:color="auto" w:fill="auto"/>
        <w:tabs>
          <w:tab w:pos="998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поиск новых радиоактивных элементов</w:t>
      </w:r>
    </w:p>
    <w:p>
      <w:pPr>
        <w:pStyle w:val="Style34"/>
        <w:keepNext w:val="0"/>
        <w:keepLines w:val="0"/>
        <w:widowControl w:val="0"/>
        <w:numPr>
          <w:ilvl w:val="0"/>
          <w:numId w:val="127"/>
        </w:numPr>
        <w:shd w:val="clear" w:color="auto" w:fill="auto"/>
        <w:tabs>
          <w:tab w:pos="993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утилизация радиоактивных отходов</w:t>
      </w:r>
    </w:p>
    <w:p>
      <w:pPr>
        <w:pStyle w:val="Style34"/>
        <w:keepNext w:val="0"/>
        <w:keepLines w:val="0"/>
        <w:widowControl w:val="0"/>
        <w:numPr>
          <w:ilvl w:val="0"/>
          <w:numId w:val="127"/>
        </w:numPr>
        <w:shd w:val="clear" w:color="auto" w:fill="auto"/>
        <w:tabs>
          <w:tab w:pos="998" w:val="left"/>
        </w:tabs>
        <w:bidi w:val="0"/>
        <w:spacing w:before="0" w:after="0" w:line="230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разработка средств медицинской защиты от действия ионизирующего излучения</w:t>
      </w:r>
    </w:p>
    <w:p>
      <w:pPr>
        <w:pStyle w:val="Style34"/>
        <w:keepNext w:val="0"/>
        <w:keepLines w:val="0"/>
        <w:widowControl w:val="0"/>
        <w:numPr>
          <w:ilvl w:val="0"/>
          <w:numId w:val="127"/>
        </w:numPr>
        <w:shd w:val="clear" w:color="auto" w:fill="auto"/>
        <w:tabs>
          <w:tab w:pos="985" w:val="left"/>
        </w:tabs>
        <w:bidi w:val="0"/>
        <w:spacing w:before="0" w:after="120" w:line="230" w:lineRule="auto"/>
        <w:ind w:left="860" w:right="0" w:hanging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разработка приборов для измерения уровня радиации на местности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Установите соответствие</w:t>
      </w:r>
    </w:p>
    <w:p>
      <w:pPr>
        <w:pStyle w:val="Style44"/>
        <w:keepNext/>
        <w:keepLines/>
        <w:widowControl w:val="0"/>
        <w:numPr>
          <w:ilvl w:val="0"/>
          <w:numId w:val="125"/>
        </w:numPr>
        <w:shd w:val="clear" w:color="auto" w:fill="auto"/>
        <w:tabs>
          <w:tab w:pos="344" w:val="left"/>
        </w:tabs>
        <w:bidi w:val="0"/>
        <w:spacing w:before="0" w:after="0" w:line="240" w:lineRule="auto"/>
        <w:ind w:left="0" w:right="0" w:firstLine="0"/>
        <w:jc w:val="both"/>
      </w:pPr>
      <w:bookmarkStart w:id="108" w:name="bookmark108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 именами каких ученых связаны перечисленные события:</w:t>
      </w:r>
      <w:bookmarkEnd w:id="108"/>
    </w:p>
    <w:p>
      <w:pPr>
        <w:pStyle w:val="Style34"/>
        <w:keepNext w:val="0"/>
        <w:keepLines w:val="0"/>
        <w:widowControl w:val="0"/>
        <w:numPr>
          <w:ilvl w:val="0"/>
          <w:numId w:val="129"/>
        </w:numPr>
        <w:shd w:val="clear" w:color="auto" w:fill="auto"/>
        <w:tabs>
          <w:tab w:pos="334" w:val="left"/>
        </w:tabs>
        <w:bidi w:val="0"/>
        <w:spacing w:before="0" w:after="0" w:line="226" w:lineRule="auto"/>
        <w:ind w:left="280" w:right="0" w:hanging="280"/>
        <w:jc w:val="both"/>
      </w:pPr>
      <w:r>
        <mc:AlternateContent>
          <mc:Choice Requires="wps">
            <w:drawing>
              <wp:anchor distT="0" distB="0" distL="12700" distR="12700" simplePos="0" relativeHeight="125829438" behindDoc="0" locked="0" layoutInCell="1" allowOverlap="1">
                <wp:simplePos x="0" y="0"/>
                <wp:positionH relativeFrom="page">
                  <wp:posOffset>4020185</wp:posOffset>
                </wp:positionH>
                <wp:positionV relativeFrom="paragraph">
                  <wp:posOffset>12700</wp:posOffset>
                </wp:positionV>
                <wp:extent cx="935990" cy="816610"/>
                <wp:wrapSquare wrapText="left"/>
                <wp:docPr id="585" name="Shape 585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935990" cy="81661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3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А) Рентген</w:t>
                            </w:r>
                          </w:p>
                          <w:p>
                            <w:pPr>
                              <w:pStyle w:val="Style3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Б) Бергонье</w:t>
                            </w:r>
                          </w:p>
                          <w:p>
                            <w:pPr>
                              <w:pStyle w:val="Style3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23" w:lineRule="auto"/>
                              <w:ind w:left="0" w:right="0" w:firstLine="28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и Трибондо</w:t>
                            </w:r>
                          </w:p>
                          <w:p>
                            <w:pPr>
                              <w:pStyle w:val="Style3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В) Кузин</w:t>
                            </w:r>
                          </w:p>
                          <w:p>
                            <w:pPr>
                              <w:pStyle w:val="Style3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Г) Беккерель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611" type="#_x0000_t202" style="position:absolute;margin-left:316.55000000000001pt;margin-top:1.pt;width:73.700000000000003pt;height:64.299999999999997pt;z-index:-125829315;mso-wrap-distance-left:1.pt;mso-wrap-distance-right:1.pt;mso-position-horizontal-relative:page" filled="f" stroked="f">
                <v:textbox inset="0,0,0,0">
                  <w:txbxContent>
                    <w:p>
                      <w:pPr>
                        <w:pStyle w:val="Style3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А) Рентген</w:t>
                      </w:r>
                    </w:p>
                    <w:p>
                      <w:pPr>
                        <w:pStyle w:val="Style3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Б) Бергонье</w:t>
                      </w:r>
                    </w:p>
                    <w:p>
                      <w:pPr>
                        <w:pStyle w:val="Style3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23" w:lineRule="auto"/>
                        <w:ind w:left="0" w:right="0" w:firstLine="28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и Трибондо</w:t>
                      </w:r>
                    </w:p>
                    <w:p>
                      <w:pPr>
                        <w:pStyle w:val="Style3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В) Кузин</w:t>
                      </w:r>
                    </w:p>
                    <w:p>
                      <w:pPr>
                        <w:pStyle w:val="Style3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Г) Беккерель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обнаружение связи между радиочувствитель</w:t>
        <w:softHyphen/>
        <w:t>ностью ткани и уровнем пролиферативной активности составляющих ее клеток</w:t>
      </w:r>
    </w:p>
    <w:p>
      <w:pPr>
        <w:pStyle w:val="Style34"/>
        <w:keepNext w:val="0"/>
        <w:keepLines w:val="0"/>
        <w:widowControl w:val="0"/>
        <w:numPr>
          <w:ilvl w:val="0"/>
          <w:numId w:val="129"/>
        </w:numPr>
        <w:shd w:val="clear" w:color="auto" w:fill="auto"/>
        <w:tabs>
          <w:tab w:pos="358" w:val="left"/>
        </w:tabs>
        <w:bidi w:val="0"/>
        <w:spacing w:before="0" w:after="0" w:line="226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открытие невидимого Х-излучения</w:t>
      </w:r>
    </w:p>
    <w:p>
      <w:pPr>
        <w:pStyle w:val="Style34"/>
        <w:keepNext w:val="0"/>
        <w:keepLines w:val="0"/>
        <w:widowControl w:val="0"/>
        <w:numPr>
          <w:ilvl w:val="0"/>
          <w:numId w:val="129"/>
        </w:numPr>
        <w:shd w:val="clear" w:color="auto" w:fill="auto"/>
        <w:tabs>
          <w:tab w:pos="353" w:val="left"/>
        </w:tabs>
        <w:bidi w:val="0"/>
        <w:spacing w:before="0" w:after="0" w:line="226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открытие явления радиоактивности</w:t>
      </w:r>
    </w:p>
    <w:p>
      <w:pPr>
        <w:pStyle w:val="Style34"/>
        <w:keepNext w:val="0"/>
        <w:keepLines w:val="0"/>
        <w:widowControl w:val="0"/>
        <w:numPr>
          <w:ilvl w:val="0"/>
          <w:numId w:val="129"/>
        </w:numPr>
        <w:shd w:val="clear" w:color="auto" w:fill="auto"/>
        <w:tabs>
          <w:tab w:pos="368" w:val="left"/>
        </w:tabs>
        <w:bidi w:val="0"/>
        <w:spacing w:before="0" w:after="0" w:line="226" w:lineRule="auto"/>
        <w:ind w:left="280" w:right="0" w:hanging="280"/>
        <w:jc w:val="both"/>
        <w:sectPr>
          <w:headerReference w:type="default" r:id="rId518"/>
          <w:footerReference w:type="default" r:id="rId519"/>
          <w:headerReference w:type="even" r:id="rId520"/>
          <w:footerReference w:type="even" r:id="rId521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2072" w:right="509" w:bottom="892" w:left="1637" w:header="1644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формирование принципов структурно-мета</w:t>
        <w:softHyphen/>
        <w:t>болической теории действия излучения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</w:p>
    <w:p>
      <w:pPr>
        <w:pStyle w:val="Style44"/>
        <w:keepNext/>
        <w:keepLines/>
        <w:widowControl w:val="0"/>
        <w:numPr>
          <w:ilvl w:val="0"/>
          <w:numId w:val="125"/>
        </w:numPr>
        <w:shd w:val="clear" w:color="auto" w:fill="auto"/>
        <w:tabs>
          <w:tab w:pos="354" w:val="left"/>
        </w:tabs>
        <w:bidi w:val="0"/>
        <w:spacing w:before="0" w:after="0" w:line="228" w:lineRule="auto"/>
        <w:ind w:left="0" w:right="0" w:firstLine="0"/>
        <w:jc w:val="both"/>
      </w:pPr>
      <w:bookmarkStart w:id="110" w:name="bookmark110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Ядрами атомов испускаются излучения:</w:t>
      </w:r>
      <w:bookmarkEnd w:id="110"/>
    </w:p>
    <w:p>
      <w:pPr>
        <w:pStyle w:val="Style34"/>
        <w:keepNext w:val="0"/>
        <w:keepLines w:val="0"/>
        <w:widowControl w:val="0"/>
        <w:numPr>
          <w:ilvl w:val="0"/>
          <w:numId w:val="131"/>
        </w:numPr>
        <w:shd w:val="clear" w:color="auto" w:fill="auto"/>
        <w:tabs>
          <w:tab w:pos="989" w:val="left"/>
        </w:tabs>
        <w:bidi w:val="0"/>
        <w:spacing w:before="0" w:after="0" w:line="228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рентгеновское характеристическое</w:t>
      </w:r>
    </w:p>
    <w:p>
      <w:pPr>
        <w:pStyle w:val="Style34"/>
        <w:keepNext w:val="0"/>
        <w:keepLines w:val="0"/>
        <w:widowControl w:val="0"/>
        <w:numPr>
          <w:ilvl w:val="0"/>
          <w:numId w:val="131"/>
        </w:numPr>
        <w:shd w:val="clear" w:color="auto" w:fill="auto"/>
        <w:tabs>
          <w:tab w:pos="1003" w:val="left"/>
        </w:tabs>
        <w:bidi w:val="0"/>
        <w:spacing w:before="0" w:after="0" w:line="228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рентгеновское тормозное</w:t>
      </w:r>
    </w:p>
    <w:p>
      <w:pPr>
        <w:pStyle w:val="Style34"/>
        <w:keepNext w:val="0"/>
        <w:keepLines w:val="0"/>
        <w:widowControl w:val="0"/>
        <w:numPr>
          <w:ilvl w:val="0"/>
          <w:numId w:val="131"/>
        </w:numPr>
        <w:shd w:val="clear" w:color="auto" w:fill="auto"/>
        <w:tabs>
          <w:tab w:pos="998" w:val="left"/>
        </w:tabs>
        <w:bidi w:val="0"/>
        <w:spacing w:before="0" w:after="0" w:line="228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ультрафиолетовое</w:t>
      </w:r>
    </w:p>
    <w:p>
      <w:pPr>
        <w:pStyle w:val="Style34"/>
        <w:keepNext w:val="0"/>
        <w:keepLines w:val="0"/>
        <w:widowControl w:val="0"/>
        <w:numPr>
          <w:ilvl w:val="0"/>
          <w:numId w:val="131"/>
        </w:numPr>
        <w:shd w:val="clear" w:color="auto" w:fill="auto"/>
        <w:tabs>
          <w:tab w:pos="1008" w:val="left"/>
        </w:tabs>
        <w:bidi w:val="0"/>
        <w:spacing w:before="0" w:after="0" w:line="228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у-излучение</w:t>
      </w:r>
    </w:p>
    <w:p>
      <w:pPr>
        <w:pStyle w:val="Style34"/>
        <w:keepNext w:val="0"/>
        <w:keepLines w:val="0"/>
        <w:widowControl w:val="0"/>
        <w:numPr>
          <w:ilvl w:val="0"/>
          <w:numId w:val="131"/>
        </w:numPr>
        <w:shd w:val="clear" w:color="auto" w:fill="auto"/>
        <w:tabs>
          <w:tab w:pos="998" w:val="left"/>
        </w:tabs>
        <w:bidi w:val="0"/>
        <w:spacing w:before="0" w:after="0" w:line="228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0-излучение</w:t>
      </w:r>
    </w:p>
    <w:p>
      <w:pPr>
        <w:pStyle w:val="Style34"/>
        <w:keepNext w:val="0"/>
        <w:keepLines w:val="0"/>
        <w:widowControl w:val="0"/>
        <w:numPr>
          <w:ilvl w:val="0"/>
          <w:numId w:val="131"/>
        </w:numPr>
        <w:shd w:val="clear" w:color="auto" w:fill="auto"/>
        <w:tabs>
          <w:tab w:pos="1003" w:val="left"/>
        </w:tabs>
        <w:bidi w:val="0"/>
        <w:spacing w:before="0" w:after="0" w:line="228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а-излучение</w:t>
      </w:r>
    </w:p>
    <w:p>
      <w:pPr>
        <w:pStyle w:val="Style34"/>
        <w:keepNext w:val="0"/>
        <w:keepLines w:val="0"/>
        <w:widowControl w:val="0"/>
        <w:numPr>
          <w:ilvl w:val="0"/>
          <w:numId w:val="131"/>
        </w:numPr>
        <w:shd w:val="clear" w:color="auto" w:fill="auto"/>
        <w:tabs>
          <w:tab w:pos="1003" w:val="left"/>
        </w:tabs>
        <w:bidi w:val="0"/>
        <w:spacing w:before="0" w:after="0" w:line="228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радиоволны</w:t>
      </w:r>
    </w:p>
    <w:p>
      <w:pPr>
        <w:pStyle w:val="Style34"/>
        <w:keepNext w:val="0"/>
        <w:keepLines w:val="0"/>
        <w:widowControl w:val="0"/>
        <w:numPr>
          <w:ilvl w:val="0"/>
          <w:numId w:val="131"/>
        </w:numPr>
        <w:shd w:val="clear" w:color="auto" w:fill="auto"/>
        <w:tabs>
          <w:tab w:pos="998" w:val="left"/>
        </w:tabs>
        <w:bidi w:val="0"/>
        <w:spacing w:before="0" w:after="0" w:line="228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инфракрасное излучение</w:t>
      </w:r>
    </w:p>
    <w:p>
      <w:pPr>
        <w:pStyle w:val="Style34"/>
        <w:keepNext w:val="0"/>
        <w:keepLines w:val="0"/>
        <w:widowControl w:val="0"/>
        <w:numPr>
          <w:ilvl w:val="0"/>
          <w:numId w:val="131"/>
        </w:numPr>
        <w:shd w:val="clear" w:color="auto" w:fill="auto"/>
        <w:tabs>
          <w:tab w:pos="1003" w:val="left"/>
        </w:tabs>
        <w:bidi w:val="0"/>
        <w:spacing w:before="0" w:after="0" w:line="228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звуковая волна</w:t>
      </w:r>
    </w:p>
    <w:p>
      <w:pPr>
        <w:pStyle w:val="Style34"/>
        <w:keepNext w:val="0"/>
        <w:keepLines w:val="0"/>
        <w:widowControl w:val="0"/>
        <w:numPr>
          <w:ilvl w:val="0"/>
          <w:numId w:val="131"/>
        </w:numPr>
        <w:shd w:val="clear" w:color="auto" w:fill="auto"/>
        <w:tabs>
          <w:tab w:pos="1010" w:val="left"/>
        </w:tabs>
        <w:bidi w:val="0"/>
        <w:spacing w:before="0" w:after="140" w:line="228" w:lineRule="auto"/>
        <w:ind w:left="0" w:right="0" w:firstLine="5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нейтронное излучение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Установите последовательность</w:t>
      </w:r>
    </w:p>
    <w:p>
      <w:pPr>
        <w:pStyle w:val="Style34"/>
        <w:keepNext w:val="0"/>
        <w:keepLines w:val="0"/>
        <w:widowControl w:val="0"/>
        <w:numPr>
          <w:ilvl w:val="0"/>
          <w:numId w:val="125"/>
        </w:numPr>
        <w:shd w:val="clear" w:color="auto" w:fill="auto"/>
        <w:tabs>
          <w:tab w:pos="354" w:val="left"/>
        </w:tabs>
        <w:bidi w:val="0"/>
        <w:spacing w:before="0" w:after="0" w:line="228" w:lineRule="auto"/>
        <w:ind w:left="280" w:right="0" w:hanging="280"/>
        <w:jc w:val="both"/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>Расположите основные стадии в действии ионизирующих излу</w:t>
        <w:softHyphen/>
        <w:t>чений на биологические системы в последовательности их раз</w:t>
        <w:softHyphen/>
        <w:t>вития:</w:t>
      </w:r>
    </w:p>
    <w:p>
      <w:pPr>
        <w:pStyle w:val="Style34"/>
        <w:keepNext w:val="0"/>
        <w:keepLines w:val="0"/>
        <w:widowControl w:val="0"/>
        <w:numPr>
          <w:ilvl w:val="0"/>
          <w:numId w:val="133"/>
        </w:numPr>
        <w:shd w:val="clear" w:color="auto" w:fill="auto"/>
        <w:tabs>
          <w:tab w:pos="984" w:val="left"/>
        </w:tabs>
        <w:bidi w:val="0"/>
        <w:spacing w:before="0" w:after="0" w:line="228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химическая</w:t>
      </w:r>
    </w:p>
    <w:p>
      <w:pPr>
        <w:pStyle w:val="Style34"/>
        <w:keepNext w:val="0"/>
        <w:keepLines w:val="0"/>
        <w:widowControl w:val="0"/>
        <w:numPr>
          <w:ilvl w:val="0"/>
          <w:numId w:val="133"/>
        </w:numPr>
        <w:shd w:val="clear" w:color="auto" w:fill="auto"/>
        <w:tabs>
          <w:tab w:pos="1008" w:val="left"/>
        </w:tabs>
        <w:bidi w:val="0"/>
        <w:spacing w:before="0" w:after="0" w:line="228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физическая</w:t>
      </w:r>
    </w:p>
    <w:p>
      <w:pPr>
        <w:pStyle w:val="Style34"/>
        <w:keepNext w:val="0"/>
        <w:keepLines w:val="0"/>
        <w:widowControl w:val="0"/>
        <w:numPr>
          <w:ilvl w:val="0"/>
          <w:numId w:val="133"/>
        </w:numPr>
        <w:shd w:val="clear" w:color="auto" w:fill="auto"/>
        <w:tabs>
          <w:tab w:pos="1003" w:val="left"/>
        </w:tabs>
        <w:bidi w:val="0"/>
        <w:spacing w:before="0" w:after="0" w:line="228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первичной эритемы</w:t>
      </w:r>
    </w:p>
    <w:p>
      <w:pPr>
        <w:pStyle w:val="Style34"/>
        <w:keepNext w:val="0"/>
        <w:keepLines w:val="0"/>
        <w:widowControl w:val="0"/>
        <w:numPr>
          <w:ilvl w:val="0"/>
          <w:numId w:val="133"/>
        </w:numPr>
        <w:shd w:val="clear" w:color="auto" w:fill="auto"/>
        <w:tabs>
          <w:tab w:pos="1008" w:val="left"/>
        </w:tabs>
        <w:bidi w:val="0"/>
        <w:spacing w:before="0" w:after="0" w:line="228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биологическая</w:t>
      </w:r>
    </w:p>
    <w:p>
      <w:pPr>
        <w:pStyle w:val="Style34"/>
        <w:keepNext w:val="0"/>
        <w:keepLines w:val="0"/>
        <w:widowControl w:val="0"/>
        <w:numPr>
          <w:ilvl w:val="0"/>
          <w:numId w:val="133"/>
        </w:numPr>
        <w:shd w:val="clear" w:color="auto" w:fill="auto"/>
        <w:tabs>
          <w:tab w:pos="1003" w:val="left"/>
        </w:tabs>
        <w:bidi w:val="0"/>
        <w:spacing w:before="0" w:after="0" w:line="228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органная</w:t>
      </w:r>
    </w:p>
    <w:p>
      <w:pPr>
        <w:pStyle w:val="Style34"/>
        <w:keepNext w:val="0"/>
        <w:keepLines w:val="0"/>
        <w:widowControl w:val="0"/>
        <w:numPr>
          <w:ilvl w:val="0"/>
          <w:numId w:val="133"/>
        </w:numPr>
        <w:shd w:val="clear" w:color="auto" w:fill="auto"/>
        <w:tabs>
          <w:tab w:pos="1008" w:val="left"/>
        </w:tabs>
        <w:bidi w:val="0"/>
        <w:spacing w:before="0" w:after="140" w:line="228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физико-химическая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Дополните предложение</w:t>
      </w:r>
    </w:p>
    <w:p>
      <w:pPr>
        <w:pStyle w:val="Style44"/>
        <w:keepNext/>
        <w:keepLines/>
        <w:widowControl w:val="0"/>
        <w:numPr>
          <w:ilvl w:val="0"/>
          <w:numId w:val="125"/>
        </w:numPr>
        <w:shd w:val="clear" w:color="auto" w:fill="auto"/>
        <w:tabs>
          <w:tab w:pos="349" w:val="left"/>
          <w:tab w:leader="underscore" w:pos="5467" w:val="left"/>
        </w:tabs>
        <w:bidi w:val="0"/>
        <w:spacing w:before="0" w:after="140" w:line="228" w:lineRule="auto"/>
        <w:ind w:left="280" w:right="0" w:hanging="280"/>
        <w:jc w:val="both"/>
      </w:pPr>
      <w:bookmarkStart w:id="112" w:name="bookmark112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Свойство элемента самопроизвольно испускать ионизирующее излучение называется</w:t>
        <w:tab/>
      </w:r>
      <w:bookmarkEnd w:id="112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ответы:</w:t>
      </w:r>
    </w:p>
    <w:p>
      <w:pPr>
        <w:pStyle w:val="Style44"/>
        <w:keepNext/>
        <w:keepLines/>
        <w:widowControl w:val="0"/>
        <w:numPr>
          <w:ilvl w:val="0"/>
          <w:numId w:val="125"/>
        </w:numPr>
        <w:shd w:val="clear" w:color="auto" w:fill="auto"/>
        <w:tabs>
          <w:tab w:pos="349" w:val="left"/>
        </w:tabs>
        <w:bidi w:val="0"/>
        <w:spacing w:before="0" w:after="0" w:line="228" w:lineRule="auto"/>
        <w:ind w:left="0" w:right="0" w:firstLine="0"/>
        <w:jc w:val="both"/>
      </w:pPr>
      <w:bookmarkStart w:id="114" w:name="bookmark114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 ионизирующим излучениям относятся:</w:t>
      </w:r>
      <w:bookmarkEnd w:id="114"/>
    </w:p>
    <w:p>
      <w:pPr>
        <w:pStyle w:val="Style34"/>
        <w:keepNext w:val="0"/>
        <w:keepLines w:val="0"/>
        <w:widowControl w:val="0"/>
        <w:numPr>
          <w:ilvl w:val="0"/>
          <w:numId w:val="135"/>
        </w:numPr>
        <w:shd w:val="clear" w:color="auto" w:fill="auto"/>
        <w:tabs>
          <w:tab w:pos="984" w:val="left"/>
        </w:tabs>
        <w:bidi w:val="0"/>
        <w:spacing w:before="0" w:after="0" w:line="228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инфракрасное излучение</w:t>
      </w:r>
    </w:p>
    <w:p>
      <w:pPr>
        <w:pStyle w:val="Style34"/>
        <w:keepNext w:val="0"/>
        <w:keepLines w:val="0"/>
        <w:widowControl w:val="0"/>
        <w:numPr>
          <w:ilvl w:val="0"/>
          <w:numId w:val="135"/>
        </w:numPr>
        <w:shd w:val="clear" w:color="auto" w:fill="auto"/>
        <w:tabs>
          <w:tab w:pos="1003" w:val="left"/>
        </w:tabs>
        <w:bidi w:val="0"/>
        <w:spacing w:before="0" w:after="0" w:line="228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а-излучение</w:t>
      </w:r>
    </w:p>
    <w:p>
      <w:pPr>
        <w:pStyle w:val="Style34"/>
        <w:keepNext w:val="0"/>
        <w:keepLines w:val="0"/>
        <w:widowControl w:val="0"/>
        <w:numPr>
          <w:ilvl w:val="0"/>
          <w:numId w:val="135"/>
        </w:numPr>
        <w:shd w:val="clear" w:color="auto" w:fill="auto"/>
        <w:tabs>
          <w:tab w:pos="998" w:val="left"/>
        </w:tabs>
        <w:bidi w:val="0"/>
        <w:spacing w:before="0" w:after="0" w:line="228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рентгеновское излучение</w:t>
      </w:r>
    </w:p>
    <w:p>
      <w:pPr>
        <w:pStyle w:val="Style34"/>
        <w:keepNext w:val="0"/>
        <w:keepLines w:val="0"/>
        <w:widowControl w:val="0"/>
        <w:numPr>
          <w:ilvl w:val="0"/>
          <w:numId w:val="135"/>
        </w:numPr>
        <w:shd w:val="clear" w:color="auto" w:fill="auto"/>
        <w:tabs>
          <w:tab w:pos="1008" w:val="left"/>
        </w:tabs>
        <w:bidi w:val="0"/>
        <w:spacing w:before="0" w:after="0" w:line="228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радиоволны</w:t>
      </w:r>
    </w:p>
    <w:p>
      <w:pPr>
        <w:pStyle w:val="Style34"/>
        <w:keepNext w:val="0"/>
        <w:keepLines w:val="0"/>
        <w:widowControl w:val="0"/>
        <w:numPr>
          <w:ilvl w:val="0"/>
          <w:numId w:val="135"/>
        </w:numPr>
        <w:shd w:val="clear" w:color="auto" w:fill="auto"/>
        <w:tabs>
          <w:tab w:pos="1003" w:val="left"/>
        </w:tabs>
        <w:bidi w:val="0"/>
        <w:spacing w:before="0" w:after="0" w:line="228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0-излучение</w:t>
      </w:r>
    </w:p>
    <w:p>
      <w:pPr>
        <w:pStyle w:val="Style34"/>
        <w:keepNext w:val="0"/>
        <w:keepLines w:val="0"/>
        <w:widowControl w:val="0"/>
        <w:numPr>
          <w:ilvl w:val="0"/>
          <w:numId w:val="135"/>
        </w:numPr>
        <w:shd w:val="clear" w:color="auto" w:fill="auto"/>
        <w:tabs>
          <w:tab w:pos="1003" w:val="left"/>
        </w:tabs>
        <w:bidi w:val="0"/>
        <w:spacing w:before="0" w:after="0" w:line="228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у-излучение</w:t>
      </w:r>
    </w:p>
    <w:p>
      <w:pPr>
        <w:pStyle w:val="Style34"/>
        <w:keepNext w:val="0"/>
        <w:keepLines w:val="0"/>
        <w:widowControl w:val="0"/>
        <w:numPr>
          <w:ilvl w:val="0"/>
          <w:numId w:val="135"/>
        </w:numPr>
        <w:shd w:val="clear" w:color="auto" w:fill="auto"/>
        <w:tabs>
          <w:tab w:pos="998" w:val="left"/>
        </w:tabs>
        <w:bidi w:val="0"/>
        <w:spacing w:before="0" w:after="0" w:line="228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ультрафиолетовое излучение</w:t>
      </w:r>
    </w:p>
    <w:p>
      <w:pPr>
        <w:pStyle w:val="Style34"/>
        <w:keepNext w:val="0"/>
        <w:keepLines w:val="0"/>
        <w:widowControl w:val="0"/>
        <w:numPr>
          <w:ilvl w:val="0"/>
          <w:numId w:val="135"/>
        </w:numPr>
        <w:shd w:val="clear" w:color="auto" w:fill="auto"/>
        <w:tabs>
          <w:tab w:pos="998" w:val="left"/>
        </w:tabs>
        <w:bidi w:val="0"/>
        <w:spacing w:before="0" w:after="0" w:line="228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нейтронное излучение</w:t>
      </w:r>
    </w:p>
    <w:p>
      <w:pPr>
        <w:pStyle w:val="Style34"/>
        <w:keepNext w:val="0"/>
        <w:keepLines w:val="0"/>
        <w:widowControl w:val="0"/>
        <w:numPr>
          <w:ilvl w:val="0"/>
          <w:numId w:val="135"/>
        </w:numPr>
        <w:shd w:val="clear" w:color="auto" w:fill="auto"/>
        <w:tabs>
          <w:tab w:pos="1008" w:val="left"/>
        </w:tabs>
        <w:bidi w:val="0"/>
        <w:spacing w:before="0" w:after="0" w:line="228" w:lineRule="auto"/>
        <w:ind w:left="0" w:right="0" w:firstLine="640"/>
        <w:jc w:val="both"/>
        <w:sectPr>
          <w:headerReference w:type="default" r:id="rId522"/>
          <w:footerReference w:type="default" r:id="rId523"/>
          <w:headerReference w:type="even" r:id="rId524"/>
          <w:footerReference w:type="even" r:id="rId525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61" w:right="1022" w:bottom="861" w:left="1099" w:header="433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звуковые волны</w:t>
      </w:r>
    </w:p>
    <w:p>
      <w:pPr>
        <w:pStyle w:val="Style34"/>
        <w:keepNext w:val="0"/>
        <w:keepLines w:val="0"/>
        <w:widowControl w:val="0"/>
        <w:numPr>
          <w:ilvl w:val="0"/>
          <w:numId w:val="135"/>
        </w:numPr>
        <w:shd w:val="clear" w:color="auto" w:fill="auto"/>
        <w:tabs>
          <w:tab w:pos="930" w:val="left"/>
        </w:tabs>
        <w:bidi w:val="0"/>
        <w:spacing w:before="0" w:after="140" w:line="240" w:lineRule="auto"/>
        <w:ind w:left="0" w:right="0" w:firstLine="5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катионы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6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</w:p>
    <w:p>
      <w:pPr>
        <w:pStyle w:val="Style44"/>
        <w:keepNext/>
        <w:keepLines/>
        <w:widowControl w:val="0"/>
        <w:numPr>
          <w:ilvl w:val="0"/>
          <w:numId w:val="125"/>
        </w:numPr>
        <w:shd w:val="clear" w:color="auto" w:fill="auto"/>
        <w:tabs>
          <w:tab w:pos="284" w:val="left"/>
        </w:tabs>
        <w:bidi w:val="0"/>
        <w:spacing w:before="0" w:after="0" w:line="226" w:lineRule="auto"/>
        <w:ind w:left="0" w:right="0" w:firstLine="0"/>
        <w:jc w:val="both"/>
      </w:pPr>
      <w:bookmarkStart w:id="116" w:name="bookmark116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Экспозиционная доза облучения — это:</w:t>
      </w:r>
      <w:bookmarkEnd w:id="116"/>
    </w:p>
    <w:p>
      <w:pPr>
        <w:pStyle w:val="Style34"/>
        <w:keepNext w:val="0"/>
        <w:keepLines w:val="0"/>
        <w:widowControl w:val="0"/>
        <w:numPr>
          <w:ilvl w:val="0"/>
          <w:numId w:val="139"/>
        </w:numPr>
        <w:shd w:val="clear" w:color="auto" w:fill="auto"/>
        <w:tabs>
          <w:tab w:pos="929" w:val="left"/>
        </w:tabs>
        <w:bidi w:val="0"/>
        <w:spacing w:before="0" w:after="0" w:line="228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количество радионуклидов, поступивших в организм любым путем</w:t>
      </w:r>
    </w:p>
    <w:p>
      <w:pPr>
        <w:pStyle w:val="Style34"/>
        <w:keepNext w:val="0"/>
        <w:keepLines w:val="0"/>
        <w:widowControl w:val="0"/>
        <w:numPr>
          <w:ilvl w:val="0"/>
          <w:numId w:val="139"/>
        </w:numPr>
        <w:shd w:val="clear" w:color="auto" w:fill="auto"/>
        <w:tabs>
          <w:tab w:pos="938" w:val="left"/>
        </w:tabs>
        <w:bidi w:val="0"/>
        <w:spacing w:before="0" w:after="0" w:line="223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количество энергии, переданной излучением веществу в расчете на единицу его массы</w:t>
      </w:r>
    </w:p>
    <w:p>
      <w:pPr>
        <w:pStyle w:val="Style34"/>
        <w:keepNext w:val="0"/>
        <w:keepLines w:val="0"/>
        <w:widowControl w:val="0"/>
        <w:numPr>
          <w:ilvl w:val="0"/>
          <w:numId w:val="139"/>
        </w:numPr>
        <w:shd w:val="clear" w:color="auto" w:fill="auto"/>
        <w:tabs>
          <w:tab w:pos="938" w:val="left"/>
        </w:tabs>
        <w:bidi w:val="0"/>
        <w:spacing w:before="0" w:after="0" w:line="226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суммарный электрический заряд ионов одного знака, образующихся при облучении воздуха, отнесенный к единице его массы</w:t>
      </w:r>
    </w:p>
    <w:p>
      <w:pPr>
        <w:pStyle w:val="Style34"/>
        <w:keepNext w:val="0"/>
        <w:keepLines w:val="0"/>
        <w:widowControl w:val="0"/>
        <w:numPr>
          <w:ilvl w:val="0"/>
          <w:numId w:val="139"/>
        </w:numPr>
        <w:shd w:val="clear" w:color="auto" w:fill="auto"/>
        <w:tabs>
          <w:tab w:pos="948" w:val="left"/>
        </w:tabs>
        <w:bidi w:val="0"/>
        <w:spacing w:before="0" w:after="0" w:line="226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величина, используемая как мера риска возникновения отдаленных последствий облучения всего тела и отде</w:t>
        <w:softHyphen/>
        <w:t>льных органов и тканей с учетом их радиочувствитель</w:t>
        <w:softHyphen/>
        <w:t>ности</w:t>
      </w:r>
    </w:p>
    <w:p>
      <w:pPr>
        <w:pStyle w:val="Style34"/>
        <w:keepNext w:val="0"/>
        <w:keepLines w:val="0"/>
        <w:widowControl w:val="0"/>
        <w:numPr>
          <w:ilvl w:val="0"/>
          <w:numId w:val="139"/>
        </w:numPr>
        <w:shd w:val="clear" w:color="auto" w:fill="auto"/>
        <w:tabs>
          <w:tab w:pos="943" w:val="left"/>
        </w:tabs>
        <w:bidi w:val="0"/>
        <w:spacing w:before="0" w:after="140" w:line="223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доза (экспозиционная, поглощенная или эквивалент</w:t>
        <w:softHyphen/>
        <w:t>ная), регистрируемая за единицу времени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Установите соответствие</w:t>
      </w:r>
    </w:p>
    <w:p>
      <w:pPr>
        <w:pStyle w:val="Style44"/>
        <w:keepNext/>
        <w:keepLines/>
        <w:widowControl w:val="0"/>
        <w:numPr>
          <w:ilvl w:val="0"/>
          <w:numId w:val="125"/>
        </w:numPr>
        <w:shd w:val="clear" w:color="auto" w:fill="auto"/>
        <w:tabs>
          <w:tab w:pos="294" w:val="left"/>
        </w:tabs>
        <w:bidi w:val="0"/>
        <w:spacing w:before="0" w:after="0" w:line="223" w:lineRule="auto"/>
        <w:ind w:left="260" w:right="0" w:hanging="260"/>
        <w:jc w:val="both"/>
      </w:pPr>
      <w:bookmarkStart w:id="118" w:name="bookmark118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процессы протекают на перечисленных стадиях действия ионизирующих излучений:</w:t>
      </w:r>
      <w:bookmarkEnd w:id="118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260" w:right="0" w:hanging="260"/>
        <w:jc w:val="both"/>
      </w:pPr>
      <w:r>
        <mc:AlternateContent>
          <mc:Choice Requires="wps">
            <w:drawing>
              <wp:anchor distT="0" distB="0" distL="12700" distR="12700" simplePos="0" relativeHeight="125829440" behindDoc="0" locked="0" layoutInCell="1" allowOverlap="1">
                <wp:simplePos x="0" y="0"/>
                <wp:positionH relativeFrom="page">
                  <wp:posOffset>1192530</wp:posOffset>
                </wp:positionH>
                <wp:positionV relativeFrom="paragraph">
                  <wp:posOffset>12700</wp:posOffset>
                </wp:positionV>
                <wp:extent cx="1502410" cy="807720"/>
                <wp:wrapSquare wrapText="bothSides"/>
                <wp:docPr id="595" name="Shape 595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502410" cy="80772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34"/>
                              <w:keepNext w:val="0"/>
                              <w:keepLines w:val="0"/>
                              <w:widowControl w:val="0"/>
                              <w:numPr>
                                <w:ilvl w:val="0"/>
                                <w:numId w:val="137"/>
                              </w:numPr>
                              <w:shd w:val="clear" w:color="auto" w:fill="auto"/>
                              <w:tabs>
                                <w:tab w:pos="230" w:val="left"/>
                              </w:tabs>
                              <w:bidi w:val="0"/>
                              <w:spacing w:before="0" w:after="0" w:line="228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физическая стадия</w:t>
                            </w:r>
                          </w:p>
                          <w:p>
                            <w:pPr>
                              <w:pStyle w:val="Style34"/>
                              <w:keepNext w:val="0"/>
                              <w:keepLines w:val="0"/>
                              <w:widowControl w:val="0"/>
                              <w:numPr>
                                <w:ilvl w:val="0"/>
                                <w:numId w:val="137"/>
                              </w:numPr>
                              <w:shd w:val="clear" w:color="auto" w:fill="auto"/>
                              <w:tabs>
                                <w:tab w:pos="230" w:val="left"/>
                              </w:tabs>
                              <w:bidi w:val="0"/>
                              <w:spacing w:before="0" w:after="0" w:line="228" w:lineRule="auto"/>
                              <w:ind w:left="280" w:right="0" w:hanging="28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физико-химическая стадия</w:t>
                            </w:r>
                          </w:p>
                          <w:p>
                            <w:pPr>
                              <w:pStyle w:val="Style34"/>
                              <w:keepNext w:val="0"/>
                              <w:keepLines w:val="0"/>
                              <w:widowControl w:val="0"/>
                              <w:numPr>
                                <w:ilvl w:val="0"/>
                                <w:numId w:val="137"/>
                              </w:numPr>
                              <w:shd w:val="clear" w:color="auto" w:fill="auto"/>
                              <w:tabs>
                                <w:tab w:pos="230" w:val="left"/>
                              </w:tabs>
                              <w:bidi w:val="0"/>
                              <w:spacing w:before="0" w:after="0" w:line="228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химическая стадия</w:t>
                            </w:r>
                          </w:p>
                          <w:p>
                            <w:pPr>
                              <w:pStyle w:val="Style34"/>
                              <w:keepNext w:val="0"/>
                              <w:keepLines w:val="0"/>
                              <w:widowControl w:val="0"/>
                              <w:numPr>
                                <w:ilvl w:val="0"/>
                                <w:numId w:val="137"/>
                              </w:numPr>
                              <w:shd w:val="clear" w:color="auto" w:fill="auto"/>
                              <w:tabs>
                                <w:tab w:pos="230" w:val="left"/>
                              </w:tabs>
                              <w:bidi w:val="0"/>
                              <w:spacing w:before="0" w:after="0" w:line="228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биологическая стадия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621" type="#_x0000_t202" style="position:absolute;margin-left:93.900000000000006pt;margin-top:1.pt;width:118.3pt;height:63.600000000000001pt;z-index:-125829313;mso-wrap-distance-left:1.pt;mso-wrap-distance-right:1.pt;mso-position-horizontal-relative:page" filled="f" stroked="f">
                <v:textbox inset="0,0,0,0">
                  <w:txbxContent>
                    <w:p>
                      <w:pPr>
                        <w:pStyle w:val="Style34"/>
                        <w:keepNext w:val="0"/>
                        <w:keepLines w:val="0"/>
                        <w:widowControl w:val="0"/>
                        <w:numPr>
                          <w:ilvl w:val="0"/>
                          <w:numId w:val="137"/>
                        </w:numPr>
                        <w:shd w:val="clear" w:color="auto" w:fill="auto"/>
                        <w:tabs>
                          <w:tab w:pos="230" w:val="left"/>
                        </w:tabs>
                        <w:bidi w:val="0"/>
                        <w:spacing w:before="0" w:after="0" w:line="228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физическая стадия</w:t>
                      </w:r>
                    </w:p>
                    <w:p>
                      <w:pPr>
                        <w:pStyle w:val="Style34"/>
                        <w:keepNext w:val="0"/>
                        <w:keepLines w:val="0"/>
                        <w:widowControl w:val="0"/>
                        <w:numPr>
                          <w:ilvl w:val="0"/>
                          <w:numId w:val="137"/>
                        </w:numPr>
                        <w:shd w:val="clear" w:color="auto" w:fill="auto"/>
                        <w:tabs>
                          <w:tab w:pos="230" w:val="left"/>
                        </w:tabs>
                        <w:bidi w:val="0"/>
                        <w:spacing w:before="0" w:after="0" w:line="228" w:lineRule="auto"/>
                        <w:ind w:left="280" w:right="0" w:hanging="28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физико-химическая стадия</w:t>
                      </w:r>
                    </w:p>
                    <w:p>
                      <w:pPr>
                        <w:pStyle w:val="Style34"/>
                        <w:keepNext w:val="0"/>
                        <w:keepLines w:val="0"/>
                        <w:widowControl w:val="0"/>
                        <w:numPr>
                          <w:ilvl w:val="0"/>
                          <w:numId w:val="137"/>
                        </w:numPr>
                        <w:shd w:val="clear" w:color="auto" w:fill="auto"/>
                        <w:tabs>
                          <w:tab w:pos="230" w:val="left"/>
                        </w:tabs>
                        <w:bidi w:val="0"/>
                        <w:spacing w:before="0" w:after="0" w:line="228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химическая стадия</w:t>
                      </w:r>
                    </w:p>
                    <w:p>
                      <w:pPr>
                        <w:pStyle w:val="Style34"/>
                        <w:keepNext w:val="0"/>
                        <w:keepLines w:val="0"/>
                        <w:widowControl w:val="0"/>
                        <w:numPr>
                          <w:ilvl w:val="0"/>
                          <w:numId w:val="137"/>
                        </w:numPr>
                        <w:shd w:val="clear" w:color="auto" w:fill="auto"/>
                        <w:tabs>
                          <w:tab w:pos="230" w:val="left"/>
                        </w:tabs>
                        <w:bidi w:val="0"/>
                        <w:spacing w:before="0" w:after="0" w:line="228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биологическая стадия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А) перераспределение поглощенной энергии внутри молекул и между ними, образование свободных ради</w:t>
        <w:softHyphen/>
        <w:t>калов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2700" w:right="0" w:hanging="27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Б) последовательное развитие пораже</w:t>
        <w:softHyphen/>
        <w:t>ния на всех уровнях биологической организации: от субклеточного до организменного, активация процес</w:t>
        <w:softHyphen/>
        <w:t>сов биологического усиления и ре</w:t>
        <w:softHyphen/>
        <w:t>парации повреждений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2700" w:right="0" w:hanging="28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В) поглощение энергии излучения; об</w:t>
        <w:softHyphen/>
        <w:t>разование ионизированных и воз</w:t>
        <w:softHyphen/>
        <w:t>бужденных атомов и молекул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2700" w:right="0" w:hanging="280"/>
        <w:jc w:val="both"/>
        <w:sectPr>
          <w:headerReference w:type="default" r:id="rId526"/>
          <w:footerReference w:type="default" r:id="rId527"/>
          <w:headerReference w:type="even" r:id="rId528"/>
          <w:footerReference w:type="even" r:id="rId529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40" w:right="262" w:bottom="840" w:left="1878" w:header="0" w:footer="3" w:gutter="0"/>
          <w:pgNumType w:start="20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Г) реакции между свободными радика</w:t>
        <w:softHyphen/>
        <w:t>лами, между радикалами и неакти</w:t>
        <w:softHyphen/>
        <w:t>вированными молекулами, образо</w:t>
        <w:softHyphen/>
        <w:t>вание широкого спектра молекул с измененными структурой и функ</w:t>
        <w:softHyphen/>
        <w:t>циональными свойствами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lef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</w:p>
    <w:p>
      <w:pPr>
        <w:pStyle w:val="Style44"/>
        <w:keepNext/>
        <w:keepLines/>
        <w:widowControl w:val="0"/>
        <w:numPr>
          <w:ilvl w:val="0"/>
          <w:numId w:val="125"/>
        </w:numPr>
        <w:shd w:val="clear" w:color="auto" w:fill="auto"/>
        <w:tabs>
          <w:tab w:pos="354" w:val="left"/>
        </w:tabs>
        <w:bidi w:val="0"/>
        <w:spacing w:before="0" w:after="0" w:line="233" w:lineRule="auto"/>
        <w:ind w:left="260" w:right="0" w:hanging="260"/>
        <w:jc w:val="both"/>
      </w:pPr>
      <w:bookmarkStart w:id="120" w:name="bookmark120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Повреждение каких макромолекул имеет наибольшее значение для судьбы облученной клетки:</w:t>
      </w:r>
      <w:bookmarkEnd w:id="120"/>
    </w:p>
    <w:p>
      <w:pPr>
        <w:pStyle w:val="Style34"/>
        <w:keepNext w:val="0"/>
        <w:keepLines w:val="0"/>
        <w:widowControl w:val="0"/>
        <w:numPr>
          <w:ilvl w:val="0"/>
          <w:numId w:val="141"/>
        </w:numPr>
        <w:shd w:val="clear" w:color="auto" w:fill="auto"/>
        <w:tabs>
          <w:tab w:pos="984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РНК</w:t>
      </w:r>
    </w:p>
    <w:p>
      <w:pPr>
        <w:pStyle w:val="Style34"/>
        <w:keepNext w:val="0"/>
        <w:keepLines w:val="0"/>
        <w:widowControl w:val="0"/>
        <w:numPr>
          <w:ilvl w:val="0"/>
          <w:numId w:val="141"/>
        </w:numPr>
        <w:shd w:val="clear" w:color="auto" w:fill="auto"/>
        <w:tabs>
          <w:tab w:pos="1003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липополисахариды</w:t>
      </w:r>
    </w:p>
    <w:p>
      <w:pPr>
        <w:pStyle w:val="Style34"/>
        <w:keepNext w:val="0"/>
        <w:keepLines w:val="0"/>
        <w:widowControl w:val="0"/>
        <w:numPr>
          <w:ilvl w:val="0"/>
          <w:numId w:val="141"/>
        </w:numPr>
        <w:shd w:val="clear" w:color="auto" w:fill="auto"/>
        <w:tabs>
          <w:tab w:pos="998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полисахариды</w:t>
      </w:r>
    </w:p>
    <w:p>
      <w:pPr>
        <w:pStyle w:val="Style34"/>
        <w:keepNext w:val="0"/>
        <w:keepLines w:val="0"/>
        <w:widowControl w:val="0"/>
        <w:numPr>
          <w:ilvl w:val="0"/>
          <w:numId w:val="141"/>
        </w:numPr>
        <w:shd w:val="clear" w:color="auto" w:fill="auto"/>
        <w:tabs>
          <w:tab w:pos="1008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нуклеиновые кислоты</w:t>
      </w:r>
    </w:p>
    <w:p>
      <w:pPr>
        <w:pStyle w:val="Style34"/>
        <w:keepNext w:val="0"/>
        <w:keepLines w:val="0"/>
        <w:widowControl w:val="0"/>
        <w:numPr>
          <w:ilvl w:val="0"/>
          <w:numId w:val="141"/>
        </w:numPr>
        <w:shd w:val="clear" w:color="auto" w:fill="auto"/>
        <w:tabs>
          <w:tab w:pos="1003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мукополисахариды</w:t>
      </w:r>
    </w:p>
    <w:p>
      <w:pPr>
        <w:pStyle w:val="Style34"/>
        <w:keepNext w:val="0"/>
        <w:keepLines w:val="0"/>
        <w:widowControl w:val="0"/>
        <w:numPr>
          <w:ilvl w:val="0"/>
          <w:numId w:val="141"/>
        </w:numPr>
        <w:shd w:val="clear" w:color="auto" w:fill="auto"/>
        <w:tabs>
          <w:tab w:pos="1003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липопротеиды</w:t>
      </w:r>
    </w:p>
    <w:p>
      <w:pPr>
        <w:pStyle w:val="Style34"/>
        <w:keepNext w:val="0"/>
        <w:keepLines w:val="0"/>
        <w:widowControl w:val="0"/>
        <w:numPr>
          <w:ilvl w:val="0"/>
          <w:numId w:val="141"/>
        </w:numPr>
        <w:shd w:val="clear" w:color="auto" w:fill="auto"/>
        <w:tabs>
          <w:tab w:pos="1003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ферменты</w:t>
      </w:r>
    </w:p>
    <w:p>
      <w:pPr>
        <w:pStyle w:val="Style34"/>
        <w:keepNext w:val="0"/>
        <w:keepLines w:val="0"/>
        <w:widowControl w:val="0"/>
        <w:numPr>
          <w:ilvl w:val="0"/>
          <w:numId w:val="141"/>
        </w:numPr>
        <w:shd w:val="clear" w:color="auto" w:fill="auto"/>
        <w:tabs>
          <w:tab w:pos="998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ДНК</w:t>
      </w:r>
    </w:p>
    <w:p>
      <w:pPr>
        <w:pStyle w:val="Style34"/>
        <w:keepNext w:val="0"/>
        <w:keepLines w:val="0"/>
        <w:widowControl w:val="0"/>
        <w:numPr>
          <w:ilvl w:val="0"/>
          <w:numId w:val="141"/>
        </w:numPr>
        <w:shd w:val="clear" w:color="auto" w:fill="auto"/>
        <w:tabs>
          <w:tab w:pos="1003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белки</w:t>
      </w:r>
    </w:p>
    <w:p>
      <w:pPr>
        <w:pStyle w:val="Style34"/>
        <w:keepNext w:val="0"/>
        <w:keepLines w:val="0"/>
        <w:widowControl w:val="0"/>
        <w:numPr>
          <w:ilvl w:val="0"/>
          <w:numId w:val="141"/>
        </w:numPr>
        <w:shd w:val="clear" w:color="auto" w:fill="auto"/>
        <w:tabs>
          <w:tab w:pos="994" w:val="left"/>
        </w:tabs>
        <w:bidi w:val="0"/>
        <w:spacing w:before="0" w:after="140" w:line="230" w:lineRule="auto"/>
        <w:ind w:left="0" w:right="0" w:firstLine="5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гормоны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lef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</w:p>
    <w:p>
      <w:pPr>
        <w:pStyle w:val="Style44"/>
        <w:keepNext/>
        <w:keepLines/>
        <w:widowControl w:val="0"/>
        <w:numPr>
          <w:ilvl w:val="0"/>
          <w:numId w:val="125"/>
        </w:numPr>
        <w:shd w:val="clear" w:color="auto" w:fill="auto"/>
        <w:tabs>
          <w:tab w:pos="440" w:val="left"/>
        </w:tabs>
        <w:bidi w:val="0"/>
        <w:spacing w:before="0" w:after="0" w:line="230" w:lineRule="auto"/>
        <w:ind w:left="0" w:right="0" w:firstLine="0"/>
        <w:jc w:val="left"/>
      </w:pPr>
      <w:bookmarkStart w:id="122" w:name="bookmark122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Репродуктивная гибель клеток:</w:t>
      </w:r>
      <w:bookmarkEnd w:id="122"/>
    </w:p>
    <w:p>
      <w:pPr>
        <w:pStyle w:val="Style34"/>
        <w:keepNext w:val="0"/>
        <w:keepLines w:val="0"/>
        <w:widowControl w:val="0"/>
        <w:numPr>
          <w:ilvl w:val="0"/>
          <w:numId w:val="143"/>
        </w:numPr>
        <w:shd w:val="clear" w:color="auto" w:fill="auto"/>
        <w:tabs>
          <w:tab w:pos="1004" w:val="left"/>
        </w:tabs>
        <w:bidi w:val="0"/>
        <w:spacing w:before="0" w:after="0" w:line="230" w:lineRule="auto"/>
        <w:ind w:left="88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является прежде всего следствием повреждения ядер- ной ДНК</w:t>
      </w:r>
    </w:p>
    <w:p>
      <w:pPr>
        <w:pStyle w:val="Style34"/>
        <w:keepNext w:val="0"/>
        <w:keepLines w:val="0"/>
        <w:widowControl w:val="0"/>
        <w:numPr>
          <w:ilvl w:val="0"/>
          <w:numId w:val="143"/>
        </w:numPr>
        <w:shd w:val="clear" w:color="auto" w:fill="auto"/>
        <w:tabs>
          <w:tab w:pos="1003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наблюдается только в покоящихся клетках</w:t>
      </w:r>
    </w:p>
    <w:p>
      <w:pPr>
        <w:pStyle w:val="Style34"/>
        <w:keepNext w:val="0"/>
        <w:keepLines w:val="0"/>
        <w:widowControl w:val="0"/>
        <w:numPr>
          <w:ilvl w:val="0"/>
          <w:numId w:val="143"/>
        </w:numPr>
        <w:shd w:val="clear" w:color="auto" w:fill="auto"/>
        <w:tabs>
          <w:tab w:pos="998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связана с повреждением хромосом</w:t>
      </w:r>
    </w:p>
    <w:p>
      <w:pPr>
        <w:pStyle w:val="Style34"/>
        <w:keepNext w:val="0"/>
        <w:keepLines w:val="0"/>
        <w:widowControl w:val="0"/>
        <w:numPr>
          <w:ilvl w:val="0"/>
          <w:numId w:val="143"/>
        </w:numPr>
        <w:shd w:val="clear" w:color="auto" w:fill="auto"/>
        <w:tabs>
          <w:tab w:pos="1008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апоптоз</w:t>
      </w:r>
    </w:p>
    <w:p>
      <w:pPr>
        <w:pStyle w:val="Style34"/>
        <w:keepNext w:val="0"/>
        <w:keepLines w:val="0"/>
        <w:widowControl w:val="0"/>
        <w:numPr>
          <w:ilvl w:val="0"/>
          <w:numId w:val="143"/>
        </w:numPr>
        <w:shd w:val="clear" w:color="auto" w:fill="auto"/>
        <w:tabs>
          <w:tab w:pos="1018" w:val="left"/>
        </w:tabs>
        <w:bidi w:val="0"/>
        <w:spacing w:before="0" w:after="0" w:line="230" w:lineRule="auto"/>
        <w:ind w:left="88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морфологически проявляется хромосомными аберра</w:t>
        <w:softHyphen/>
        <w:t>циями</w:t>
      </w:r>
    </w:p>
    <w:p>
      <w:pPr>
        <w:pStyle w:val="Style34"/>
        <w:keepNext w:val="0"/>
        <w:keepLines w:val="0"/>
        <w:widowControl w:val="0"/>
        <w:numPr>
          <w:ilvl w:val="0"/>
          <w:numId w:val="143"/>
        </w:numPr>
        <w:shd w:val="clear" w:color="auto" w:fill="auto"/>
        <w:tabs>
          <w:tab w:pos="1028" w:val="left"/>
        </w:tabs>
        <w:bidi w:val="0"/>
        <w:spacing w:before="0" w:after="0" w:line="230" w:lineRule="auto"/>
        <w:ind w:left="88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имеет место в клетках, в которых не произошло репара</w:t>
        <w:softHyphen/>
        <w:t>ции повреждений ДНК до вступления в митоз</w:t>
      </w:r>
    </w:p>
    <w:p>
      <w:pPr>
        <w:pStyle w:val="Style34"/>
        <w:keepNext w:val="0"/>
        <w:keepLines w:val="0"/>
        <w:widowControl w:val="0"/>
        <w:numPr>
          <w:ilvl w:val="0"/>
          <w:numId w:val="143"/>
        </w:numPr>
        <w:shd w:val="clear" w:color="auto" w:fill="auto"/>
        <w:tabs>
          <w:tab w:pos="1023" w:val="left"/>
        </w:tabs>
        <w:bidi w:val="0"/>
        <w:spacing w:before="0" w:after="0" w:line="230" w:lineRule="auto"/>
        <w:ind w:left="88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является следствием повреждения внутриклеточных мембран продуктами перекисного окисления липидов</w:t>
      </w:r>
    </w:p>
    <w:p>
      <w:pPr>
        <w:pStyle w:val="Style34"/>
        <w:keepNext w:val="0"/>
        <w:keepLines w:val="0"/>
        <w:widowControl w:val="0"/>
        <w:numPr>
          <w:ilvl w:val="0"/>
          <w:numId w:val="143"/>
        </w:numPr>
        <w:shd w:val="clear" w:color="auto" w:fill="auto"/>
        <w:tabs>
          <w:tab w:pos="1018" w:val="left"/>
        </w:tabs>
        <w:bidi w:val="0"/>
        <w:spacing w:before="0" w:after="0" w:line="230" w:lineRule="auto"/>
        <w:ind w:left="88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характерна как для делящихся, так и для неделящихся клеток</w:t>
      </w:r>
    </w:p>
    <w:p>
      <w:pPr>
        <w:pStyle w:val="Style34"/>
        <w:keepNext w:val="0"/>
        <w:keepLines w:val="0"/>
        <w:widowControl w:val="0"/>
        <w:numPr>
          <w:ilvl w:val="0"/>
          <w:numId w:val="143"/>
        </w:numPr>
        <w:shd w:val="clear" w:color="auto" w:fill="auto"/>
        <w:tabs>
          <w:tab w:pos="1008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происходит во время митоза</w:t>
      </w:r>
    </w:p>
    <w:p>
      <w:pPr>
        <w:pStyle w:val="Style34"/>
        <w:keepNext w:val="0"/>
        <w:keepLines w:val="0"/>
        <w:widowControl w:val="0"/>
        <w:numPr>
          <w:ilvl w:val="0"/>
          <w:numId w:val="143"/>
        </w:numPr>
        <w:shd w:val="clear" w:color="auto" w:fill="auto"/>
        <w:tabs>
          <w:tab w:pos="985" w:val="left"/>
        </w:tabs>
        <w:bidi w:val="0"/>
        <w:spacing w:before="0" w:after="140" w:line="230" w:lineRule="auto"/>
        <w:ind w:left="88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является прежде всего следствием повреждения фер</w:t>
        <w:softHyphen/>
        <w:t>ментов и нарушения клеточного метаболизма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lef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</w:p>
    <w:p>
      <w:pPr>
        <w:pStyle w:val="Style44"/>
        <w:keepNext/>
        <w:keepLines/>
        <w:widowControl w:val="0"/>
        <w:numPr>
          <w:ilvl w:val="0"/>
          <w:numId w:val="125"/>
        </w:numPr>
        <w:shd w:val="clear" w:color="auto" w:fill="auto"/>
        <w:tabs>
          <w:tab w:pos="445" w:val="left"/>
        </w:tabs>
        <w:bidi w:val="0"/>
        <w:spacing w:before="0" w:after="0" w:line="230" w:lineRule="auto"/>
        <w:ind w:left="0" w:right="0" w:firstLine="0"/>
        <w:jc w:val="both"/>
      </w:pPr>
      <w:bookmarkStart w:id="124" w:name="bookmark124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Интерфазная гибель клеток — это:</w:t>
      </w:r>
      <w:bookmarkEnd w:id="124"/>
    </w:p>
    <w:p>
      <w:pPr>
        <w:pStyle w:val="Style34"/>
        <w:keepNext w:val="0"/>
        <w:keepLines w:val="0"/>
        <w:widowControl w:val="0"/>
        <w:numPr>
          <w:ilvl w:val="0"/>
          <w:numId w:val="145"/>
        </w:numPr>
        <w:shd w:val="clear" w:color="auto" w:fill="auto"/>
        <w:tabs>
          <w:tab w:pos="984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полная утрата способности клеток к делению</w:t>
      </w:r>
    </w:p>
    <w:p>
      <w:pPr>
        <w:pStyle w:val="Style34"/>
        <w:keepNext w:val="0"/>
        <w:keepLines w:val="0"/>
        <w:widowControl w:val="0"/>
        <w:numPr>
          <w:ilvl w:val="0"/>
          <w:numId w:val="145"/>
        </w:numPr>
        <w:shd w:val="clear" w:color="auto" w:fill="auto"/>
        <w:tabs>
          <w:tab w:pos="1023" w:val="left"/>
        </w:tabs>
        <w:bidi w:val="0"/>
        <w:spacing w:before="0" w:after="0" w:line="230" w:lineRule="auto"/>
        <w:ind w:left="88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гибель клеток вне связи с процессами клеточного деле</w:t>
        <w:softHyphen/>
        <w:t>ния</w:t>
      </w:r>
    </w:p>
    <w:p>
      <w:pPr>
        <w:pStyle w:val="Style34"/>
        <w:keepNext w:val="0"/>
        <w:keepLines w:val="0"/>
        <w:widowControl w:val="0"/>
        <w:numPr>
          <w:ilvl w:val="0"/>
          <w:numId w:val="145"/>
        </w:numPr>
        <w:shd w:val="clear" w:color="auto" w:fill="auto"/>
        <w:tabs>
          <w:tab w:pos="1018" w:val="left"/>
        </w:tabs>
        <w:bidi w:val="0"/>
        <w:spacing w:before="0" w:after="0" w:line="230" w:lineRule="auto"/>
        <w:ind w:left="880" w:right="0" w:hanging="22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12" w:right="1030" w:bottom="790" w:left="109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является прежде всего следствием повреждения ядер- ной ДНК</w:t>
      </w:r>
    </w:p>
    <w:p>
      <w:pPr>
        <w:pStyle w:val="Style34"/>
        <w:keepNext w:val="0"/>
        <w:keepLines w:val="0"/>
        <w:widowControl w:val="0"/>
        <w:numPr>
          <w:ilvl w:val="0"/>
          <w:numId w:val="145"/>
        </w:numPr>
        <w:shd w:val="clear" w:color="auto" w:fill="auto"/>
        <w:tabs>
          <w:tab w:pos="1008" w:val="left"/>
        </w:tabs>
        <w:bidi w:val="0"/>
        <w:spacing w:before="0" w:after="0" w:line="226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наблюдается только в покоящихся клетках</w:t>
      </w:r>
    </w:p>
    <w:p>
      <w:pPr>
        <w:pStyle w:val="Style34"/>
        <w:keepNext w:val="0"/>
        <w:keepLines w:val="0"/>
        <w:widowControl w:val="0"/>
        <w:numPr>
          <w:ilvl w:val="0"/>
          <w:numId w:val="145"/>
        </w:numPr>
        <w:shd w:val="clear" w:color="auto" w:fill="auto"/>
        <w:tabs>
          <w:tab w:pos="1003" w:val="left"/>
        </w:tabs>
        <w:bidi w:val="0"/>
        <w:spacing w:before="0" w:after="0" w:line="226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связана с повреждением хромосом</w:t>
      </w:r>
    </w:p>
    <w:p>
      <w:pPr>
        <w:pStyle w:val="Style34"/>
        <w:keepNext w:val="0"/>
        <w:keepLines w:val="0"/>
        <w:widowControl w:val="0"/>
        <w:numPr>
          <w:ilvl w:val="0"/>
          <w:numId w:val="145"/>
        </w:numPr>
        <w:shd w:val="clear" w:color="auto" w:fill="auto"/>
        <w:tabs>
          <w:tab w:pos="1003" w:val="left"/>
        </w:tabs>
        <w:bidi w:val="0"/>
        <w:spacing w:before="0" w:after="0" w:line="226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апоптоз</w:t>
      </w:r>
    </w:p>
    <w:p>
      <w:pPr>
        <w:pStyle w:val="Style34"/>
        <w:keepNext w:val="0"/>
        <w:keepLines w:val="0"/>
        <w:widowControl w:val="0"/>
        <w:numPr>
          <w:ilvl w:val="0"/>
          <w:numId w:val="145"/>
        </w:numPr>
        <w:shd w:val="clear" w:color="auto" w:fill="auto"/>
        <w:tabs>
          <w:tab w:pos="1018" w:val="left"/>
        </w:tabs>
        <w:bidi w:val="0"/>
        <w:spacing w:before="0" w:after="0" w:line="228" w:lineRule="auto"/>
        <w:ind w:left="90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является следствием повреждения внутриклеточных мембран продуктами перекисного окисления липидов</w:t>
      </w:r>
    </w:p>
    <w:p>
      <w:pPr>
        <w:pStyle w:val="Style34"/>
        <w:keepNext w:val="0"/>
        <w:keepLines w:val="0"/>
        <w:widowControl w:val="0"/>
        <w:numPr>
          <w:ilvl w:val="0"/>
          <w:numId w:val="145"/>
        </w:numPr>
        <w:shd w:val="clear" w:color="auto" w:fill="auto"/>
        <w:tabs>
          <w:tab w:pos="1018" w:val="left"/>
        </w:tabs>
        <w:bidi w:val="0"/>
        <w:spacing w:before="0" w:after="0" w:line="228" w:lineRule="auto"/>
        <w:ind w:left="90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является прежде всего следствием повреждения фер</w:t>
        <w:softHyphen/>
        <w:t>ментов и нарушения клеточного метаболизма</w:t>
      </w:r>
    </w:p>
    <w:p>
      <w:pPr>
        <w:pStyle w:val="Style34"/>
        <w:keepNext w:val="0"/>
        <w:keepLines w:val="0"/>
        <w:widowControl w:val="0"/>
        <w:numPr>
          <w:ilvl w:val="0"/>
          <w:numId w:val="145"/>
        </w:numPr>
        <w:shd w:val="clear" w:color="auto" w:fill="auto"/>
        <w:tabs>
          <w:tab w:pos="1003" w:val="left"/>
        </w:tabs>
        <w:bidi w:val="0"/>
        <w:spacing w:before="0" w:after="0" w:line="228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происходит во время митоза</w:t>
      </w:r>
    </w:p>
    <w:p>
      <w:pPr>
        <w:pStyle w:val="Style34"/>
        <w:keepNext w:val="0"/>
        <w:keepLines w:val="0"/>
        <w:widowControl w:val="0"/>
        <w:numPr>
          <w:ilvl w:val="0"/>
          <w:numId w:val="145"/>
        </w:numPr>
        <w:shd w:val="clear" w:color="auto" w:fill="auto"/>
        <w:tabs>
          <w:tab w:pos="990" w:val="left"/>
        </w:tabs>
        <w:bidi w:val="0"/>
        <w:spacing w:before="0" w:after="140" w:line="228" w:lineRule="auto"/>
        <w:ind w:left="0" w:right="0" w:firstLine="5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некроз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6" w:lineRule="auto"/>
        <w:ind w:left="0" w:right="0" w:firstLine="0"/>
        <w:jc w:val="lef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</w:p>
    <w:p>
      <w:pPr>
        <w:pStyle w:val="Style44"/>
        <w:keepNext/>
        <w:keepLines/>
        <w:widowControl w:val="0"/>
        <w:numPr>
          <w:ilvl w:val="0"/>
          <w:numId w:val="125"/>
        </w:numPr>
        <w:shd w:val="clear" w:color="auto" w:fill="auto"/>
        <w:tabs>
          <w:tab w:pos="440" w:val="left"/>
        </w:tabs>
        <w:bidi w:val="0"/>
        <w:spacing w:before="0" w:after="0" w:line="223" w:lineRule="auto"/>
        <w:ind w:left="360" w:right="0" w:hanging="360"/>
        <w:jc w:val="both"/>
      </w:pPr>
      <w:bookmarkStart w:id="126" w:name="bookmark126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Что из перечисленного можно отнести к ближайшим проявле</w:t>
        <w:softHyphen/>
        <w:t>ниям радиобиологического эффекта:</w:t>
      </w:r>
      <w:bookmarkEnd w:id="126"/>
    </w:p>
    <w:p>
      <w:pPr>
        <w:pStyle w:val="Style34"/>
        <w:keepNext w:val="0"/>
        <w:keepLines w:val="0"/>
        <w:widowControl w:val="0"/>
        <w:numPr>
          <w:ilvl w:val="0"/>
          <w:numId w:val="147"/>
        </w:numPr>
        <w:shd w:val="clear" w:color="auto" w:fill="auto"/>
        <w:tabs>
          <w:tab w:pos="984" w:val="left"/>
        </w:tabs>
        <w:bidi w:val="0"/>
        <w:spacing w:before="0" w:after="0" w:line="226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острая лучевая реакция</w:t>
      </w:r>
    </w:p>
    <w:p>
      <w:pPr>
        <w:pStyle w:val="Style34"/>
        <w:keepNext w:val="0"/>
        <w:keepLines w:val="0"/>
        <w:widowControl w:val="0"/>
        <w:numPr>
          <w:ilvl w:val="0"/>
          <w:numId w:val="147"/>
        </w:numPr>
        <w:shd w:val="clear" w:color="auto" w:fill="auto"/>
        <w:tabs>
          <w:tab w:pos="1003" w:val="left"/>
        </w:tabs>
        <w:bidi w:val="0"/>
        <w:spacing w:before="0" w:after="0" w:line="226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гипопластические процессы</w:t>
      </w:r>
    </w:p>
    <w:p>
      <w:pPr>
        <w:pStyle w:val="Style34"/>
        <w:keepNext w:val="0"/>
        <w:keepLines w:val="0"/>
        <w:widowControl w:val="0"/>
        <w:numPr>
          <w:ilvl w:val="0"/>
          <w:numId w:val="147"/>
        </w:numPr>
        <w:shd w:val="clear" w:color="auto" w:fill="auto"/>
        <w:tabs>
          <w:tab w:pos="998" w:val="left"/>
        </w:tabs>
        <w:bidi w:val="0"/>
        <w:spacing w:before="0" w:after="0" w:line="226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сокращение продолжительности жизни</w:t>
      </w:r>
    </w:p>
    <w:p>
      <w:pPr>
        <w:pStyle w:val="Style34"/>
        <w:keepNext w:val="0"/>
        <w:keepLines w:val="0"/>
        <w:widowControl w:val="0"/>
        <w:numPr>
          <w:ilvl w:val="0"/>
          <w:numId w:val="147"/>
        </w:numPr>
        <w:shd w:val="clear" w:color="auto" w:fill="auto"/>
        <w:tabs>
          <w:tab w:pos="1008" w:val="left"/>
        </w:tabs>
        <w:bidi w:val="0"/>
        <w:spacing w:before="0" w:after="0" w:line="226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лучевой дерматит</w:t>
      </w:r>
    </w:p>
    <w:p>
      <w:pPr>
        <w:pStyle w:val="Style34"/>
        <w:keepNext w:val="0"/>
        <w:keepLines w:val="0"/>
        <w:widowControl w:val="0"/>
        <w:numPr>
          <w:ilvl w:val="0"/>
          <w:numId w:val="147"/>
        </w:numPr>
        <w:shd w:val="clear" w:color="auto" w:fill="auto"/>
        <w:tabs>
          <w:tab w:pos="1003" w:val="left"/>
        </w:tabs>
        <w:bidi w:val="0"/>
        <w:spacing w:before="0" w:after="0" w:line="226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опухоли</w:t>
      </w:r>
    </w:p>
    <w:p>
      <w:pPr>
        <w:pStyle w:val="Style34"/>
        <w:keepNext w:val="0"/>
        <w:keepLines w:val="0"/>
        <w:widowControl w:val="0"/>
        <w:numPr>
          <w:ilvl w:val="0"/>
          <w:numId w:val="147"/>
        </w:numPr>
        <w:shd w:val="clear" w:color="auto" w:fill="auto"/>
        <w:tabs>
          <w:tab w:pos="1008" w:val="left"/>
        </w:tabs>
        <w:bidi w:val="0"/>
        <w:spacing w:before="0" w:after="0" w:line="226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гемобластозы</w:t>
      </w:r>
    </w:p>
    <w:p>
      <w:pPr>
        <w:pStyle w:val="Style34"/>
        <w:keepNext w:val="0"/>
        <w:keepLines w:val="0"/>
        <w:widowControl w:val="0"/>
        <w:numPr>
          <w:ilvl w:val="0"/>
          <w:numId w:val="147"/>
        </w:numPr>
        <w:shd w:val="clear" w:color="auto" w:fill="auto"/>
        <w:tabs>
          <w:tab w:pos="1003" w:val="left"/>
        </w:tabs>
        <w:bidi w:val="0"/>
        <w:spacing w:before="0" w:after="0" w:line="226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острая лучевая болезнь</w:t>
      </w:r>
    </w:p>
    <w:p>
      <w:pPr>
        <w:pStyle w:val="Style34"/>
        <w:keepNext w:val="0"/>
        <w:keepLines w:val="0"/>
        <w:widowControl w:val="0"/>
        <w:numPr>
          <w:ilvl w:val="0"/>
          <w:numId w:val="147"/>
        </w:numPr>
        <w:shd w:val="clear" w:color="auto" w:fill="auto"/>
        <w:tabs>
          <w:tab w:pos="1003" w:val="left"/>
        </w:tabs>
        <w:bidi w:val="0"/>
        <w:spacing w:before="0" w:after="0" w:line="226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дистрофические процессы</w:t>
      </w:r>
    </w:p>
    <w:p>
      <w:pPr>
        <w:pStyle w:val="Style34"/>
        <w:keepNext w:val="0"/>
        <w:keepLines w:val="0"/>
        <w:widowControl w:val="0"/>
        <w:numPr>
          <w:ilvl w:val="0"/>
          <w:numId w:val="147"/>
        </w:numPr>
        <w:shd w:val="clear" w:color="auto" w:fill="auto"/>
        <w:tabs>
          <w:tab w:pos="1008" w:val="left"/>
        </w:tabs>
        <w:bidi w:val="0"/>
        <w:spacing w:before="0" w:after="0" w:line="226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склеротические процессы</w:t>
      </w:r>
    </w:p>
    <w:p>
      <w:pPr>
        <w:pStyle w:val="Style34"/>
        <w:keepNext w:val="0"/>
        <w:keepLines w:val="0"/>
        <w:widowControl w:val="0"/>
        <w:numPr>
          <w:ilvl w:val="0"/>
          <w:numId w:val="147"/>
        </w:numPr>
        <w:shd w:val="clear" w:color="auto" w:fill="auto"/>
        <w:tabs>
          <w:tab w:pos="985" w:val="left"/>
        </w:tabs>
        <w:bidi w:val="0"/>
        <w:spacing w:before="0" w:after="140" w:line="226" w:lineRule="auto"/>
        <w:ind w:left="0" w:right="0" w:firstLine="5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лучевая алопеция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6" w:lineRule="auto"/>
        <w:ind w:left="0" w:right="0" w:firstLine="0"/>
        <w:jc w:val="lef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Дополните предложение</w:t>
      </w:r>
    </w:p>
    <w:p>
      <w:pPr>
        <w:pStyle w:val="Style44"/>
        <w:keepNext/>
        <w:keepLines/>
        <w:widowControl w:val="0"/>
        <w:numPr>
          <w:ilvl w:val="0"/>
          <w:numId w:val="125"/>
        </w:numPr>
        <w:shd w:val="clear" w:color="auto" w:fill="auto"/>
        <w:tabs>
          <w:tab w:pos="445" w:val="left"/>
          <w:tab w:leader="underscore" w:pos="6163" w:val="left"/>
        </w:tabs>
        <w:bidi w:val="0"/>
        <w:spacing w:before="0" w:after="360" w:line="218" w:lineRule="auto"/>
        <w:ind w:left="360" w:right="0" w:hanging="360"/>
        <w:jc w:val="both"/>
      </w:pPr>
      <w:bookmarkStart w:id="128" w:name="bookmark128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 характеру связи с дозой облучения радиобиологические эф</w:t>
        <w:softHyphen/>
        <w:t>фекты разделяют на</w:t>
        <w:tab/>
      </w:r>
      <w:bookmarkEnd w:id="128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6" w:lineRule="auto"/>
        <w:ind w:left="0" w:right="0" w:firstLine="0"/>
        <w:jc w:val="lef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ответы:</w:t>
      </w:r>
    </w:p>
    <w:p>
      <w:pPr>
        <w:pStyle w:val="Style44"/>
        <w:keepNext/>
        <w:keepLines/>
        <w:widowControl w:val="0"/>
        <w:numPr>
          <w:ilvl w:val="0"/>
          <w:numId w:val="125"/>
        </w:numPr>
        <w:shd w:val="clear" w:color="auto" w:fill="auto"/>
        <w:tabs>
          <w:tab w:pos="440" w:val="left"/>
        </w:tabs>
        <w:bidi w:val="0"/>
        <w:spacing w:before="0" w:after="0" w:line="223" w:lineRule="auto"/>
        <w:ind w:left="360" w:right="0" w:hanging="360"/>
        <w:jc w:val="both"/>
      </w:pPr>
      <w:bookmarkStart w:id="130" w:name="bookmark130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Наиболее чувствительна(ы) к действию ионизирующих излуче</w:t>
        <w:softHyphen/>
        <w:t>ний ткань(и):</w:t>
      </w:r>
      <w:bookmarkEnd w:id="130"/>
    </w:p>
    <w:p>
      <w:pPr>
        <w:pStyle w:val="Style34"/>
        <w:keepNext w:val="0"/>
        <w:keepLines w:val="0"/>
        <w:widowControl w:val="0"/>
        <w:numPr>
          <w:ilvl w:val="0"/>
          <w:numId w:val="149"/>
        </w:numPr>
        <w:shd w:val="clear" w:color="auto" w:fill="auto"/>
        <w:tabs>
          <w:tab w:pos="984" w:val="left"/>
        </w:tabs>
        <w:bidi w:val="0"/>
        <w:spacing w:before="0" w:after="0" w:line="226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эндотелий</w:t>
      </w:r>
    </w:p>
    <w:p>
      <w:pPr>
        <w:pStyle w:val="Style34"/>
        <w:keepNext w:val="0"/>
        <w:keepLines w:val="0"/>
        <w:widowControl w:val="0"/>
        <w:numPr>
          <w:ilvl w:val="0"/>
          <w:numId w:val="149"/>
        </w:numPr>
        <w:shd w:val="clear" w:color="auto" w:fill="auto"/>
        <w:tabs>
          <w:tab w:pos="1008" w:val="left"/>
        </w:tabs>
        <w:bidi w:val="0"/>
        <w:spacing w:before="0" w:after="0" w:line="226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костный мозг</w:t>
      </w:r>
    </w:p>
    <w:p>
      <w:pPr>
        <w:pStyle w:val="Style34"/>
        <w:keepNext w:val="0"/>
        <w:keepLines w:val="0"/>
        <w:widowControl w:val="0"/>
        <w:numPr>
          <w:ilvl w:val="0"/>
          <w:numId w:val="149"/>
        </w:numPr>
        <w:shd w:val="clear" w:color="auto" w:fill="auto"/>
        <w:tabs>
          <w:tab w:pos="998" w:val="left"/>
        </w:tabs>
        <w:bidi w:val="0"/>
        <w:spacing w:before="0" w:after="0" w:line="226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нервная ткань</w:t>
      </w:r>
    </w:p>
    <w:p>
      <w:pPr>
        <w:pStyle w:val="Style34"/>
        <w:keepNext w:val="0"/>
        <w:keepLines w:val="0"/>
        <w:widowControl w:val="0"/>
        <w:numPr>
          <w:ilvl w:val="0"/>
          <w:numId w:val="149"/>
        </w:numPr>
        <w:shd w:val="clear" w:color="auto" w:fill="auto"/>
        <w:tabs>
          <w:tab w:pos="1008" w:val="left"/>
        </w:tabs>
        <w:bidi w:val="0"/>
        <w:spacing w:before="0" w:after="0" w:line="226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паренхима внутренних органов</w:t>
      </w:r>
    </w:p>
    <w:p>
      <w:pPr>
        <w:pStyle w:val="Style34"/>
        <w:keepNext w:val="0"/>
        <w:keepLines w:val="0"/>
        <w:widowControl w:val="0"/>
        <w:numPr>
          <w:ilvl w:val="0"/>
          <w:numId w:val="149"/>
        </w:numPr>
        <w:shd w:val="clear" w:color="auto" w:fill="auto"/>
        <w:tabs>
          <w:tab w:pos="1003" w:val="left"/>
        </w:tabs>
        <w:bidi w:val="0"/>
        <w:spacing w:before="0" w:after="0" w:line="226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мышечная ткань</w:t>
      </w:r>
    </w:p>
    <w:p>
      <w:pPr>
        <w:pStyle w:val="Style34"/>
        <w:keepNext w:val="0"/>
        <w:keepLines w:val="0"/>
        <w:widowControl w:val="0"/>
        <w:numPr>
          <w:ilvl w:val="0"/>
          <w:numId w:val="149"/>
        </w:numPr>
        <w:shd w:val="clear" w:color="auto" w:fill="auto"/>
        <w:tabs>
          <w:tab w:pos="1008" w:val="left"/>
        </w:tabs>
        <w:bidi w:val="0"/>
        <w:spacing w:before="0" w:after="0" w:line="226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костная ткань</w:t>
      </w:r>
    </w:p>
    <w:p>
      <w:pPr>
        <w:pStyle w:val="Style34"/>
        <w:keepNext w:val="0"/>
        <w:keepLines w:val="0"/>
        <w:widowControl w:val="0"/>
        <w:numPr>
          <w:ilvl w:val="0"/>
          <w:numId w:val="149"/>
        </w:numPr>
        <w:shd w:val="clear" w:color="auto" w:fill="auto"/>
        <w:tabs>
          <w:tab w:pos="1003" w:val="left"/>
        </w:tabs>
        <w:bidi w:val="0"/>
        <w:spacing w:before="0" w:after="0" w:line="226" w:lineRule="auto"/>
        <w:ind w:left="0" w:right="0" w:firstLine="640"/>
        <w:jc w:val="left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82" w:right="218" w:bottom="882" w:left="190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кожные покровы и слизистые оболочки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lef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Установите соответствие</w:t>
      </w:r>
    </w:p>
    <w:p>
      <w:pPr>
        <w:pStyle w:val="Style44"/>
        <w:keepNext/>
        <w:keepLines/>
        <w:widowControl w:val="0"/>
        <w:numPr>
          <w:ilvl w:val="0"/>
          <w:numId w:val="125"/>
        </w:numPr>
        <w:shd w:val="clear" w:color="auto" w:fill="auto"/>
        <w:tabs>
          <w:tab w:pos="450" w:val="left"/>
        </w:tabs>
        <w:bidi w:val="0"/>
        <w:spacing w:before="0" w:after="0" w:line="228" w:lineRule="auto"/>
        <w:ind w:left="340" w:right="0" w:hanging="340"/>
        <w:jc w:val="left"/>
      </w:pPr>
      <w:bookmarkStart w:id="132" w:name="bookmark132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каких дозах облучения развиваются приведенные формы и степени тяжести острой лучевой болезни:</w:t>
      </w:r>
      <w:bookmarkEnd w:id="132"/>
    </w:p>
    <w:p>
      <w:pPr>
        <w:pStyle w:val="Style34"/>
        <w:keepNext w:val="0"/>
        <w:keepLines w:val="0"/>
        <w:widowControl w:val="0"/>
        <w:numPr>
          <w:ilvl w:val="0"/>
          <w:numId w:val="151"/>
        </w:numPr>
        <w:shd w:val="clear" w:color="auto" w:fill="auto"/>
        <w:tabs>
          <w:tab w:pos="1129" w:val="left"/>
        </w:tabs>
        <w:bidi w:val="0"/>
        <w:spacing w:before="0" w:after="0" w:line="240" w:lineRule="auto"/>
        <w:ind w:left="0" w:right="0" w:firstLine="780"/>
        <w:jc w:val="left"/>
      </w:pPr>
      <w:r>
        <mc:AlternateContent>
          <mc:Choice Requires="wps">
            <w:drawing>
              <wp:anchor distT="0" distB="0" distL="114300" distR="114300" simplePos="0" relativeHeight="125829442" behindDoc="0" locked="0" layoutInCell="1" allowOverlap="1">
                <wp:simplePos x="0" y="0"/>
                <wp:positionH relativeFrom="page">
                  <wp:posOffset>463550</wp:posOffset>
                </wp:positionH>
                <wp:positionV relativeFrom="paragraph">
                  <wp:posOffset>12700</wp:posOffset>
                </wp:positionV>
                <wp:extent cx="920750" cy="838200"/>
                <wp:wrapSquare wrapText="bothSides"/>
                <wp:docPr id="601" name="Shape 601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920750" cy="83820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3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А) 10—20 Гр</w:t>
                            </w:r>
                          </w:p>
                          <w:p>
                            <w:pPr>
                              <w:pStyle w:val="Style3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Б) 4-6 Гр</w:t>
                            </w:r>
                          </w:p>
                          <w:p>
                            <w:pPr>
                              <w:pStyle w:val="Style3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В) 20-50 Гр</w:t>
                            </w:r>
                          </w:p>
                          <w:p>
                            <w:pPr>
                              <w:pStyle w:val="Style3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Г) более 50 Гр</w:t>
                            </w:r>
                          </w:p>
                          <w:p>
                            <w:pPr>
                              <w:pStyle w:val="Style3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Д) 1-2 Гр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627" type="#_x0000_t202" style="position:absolute;margin-left:36.5pt;margin-top:1.pt;width:72.5pt;height:66.pt;z-index:-125829311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3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А) 10—20 Гр</w:t>
                      </w:r>
                    </w:p>
                    <w:p>
                      <w:pPr>
                        <w:pStyle w:val="Style3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Б) 4-6 Гр</w:t>
                      </w:r>
                    </w:p>
                    <w:p>
                      <w:pPr>
                        <w:pStyle w:val="Style3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В) 20-50 Гр</w:t>
                      </w:r>
                    </w:p>
                    <w:p>
                      <w:pPr>
                        <w:pStyle w:val="Style3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Г) более 50 Гр</w:t>
                      </w:r>
                    </w:p>
                    <w:p>
                      <w:pPr>
                        <w:pStyle w:val="Style3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Д) 1-2 Гр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костномозговая I степени тяжести</w:t>
      </w:r>
    </w:p>
    <w:p>
      <w:pPr>
        <w:pStyle w:val="Style34"/>
        <w:keepNext w:val="0"/>
        <w:keepLines w:val="0"/>
        <w:widowControl w:val="0"/>
        <w:numPr>
          <w:ilvl w:val="0"/>
          <w:numId w:val="151"/>
        </w:numPr>
        <w:shd w:val="clear" w:color="auto" w:fill="auto"/>
        <w:tabs>
          <w:tab w:pos="1138" w:val="left"/>
        </w:tabs>
        <w:bidi w:val="0"/>
        <w:spacing w:before="0" w:after="0" w:line="240" w:lineRule="auto"/>
        <w:ind w:left="0" w:right="0" w:firstLine="78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токсемическая</w:t>
      </w:r>
    </w:p>
    <w:p>
      <w:pPr>
        <w:pStyle w:val="Style34"/>
        <w:keepNext w:val="0"/>
        <w:keepLines w:val="0"/>
        <w:widowControl w:val="0"/>
        <w:numPr>
          <w:ilvl w:val="0"/>
          <w:numId w:val="151"/>
        </w:numPr>
        <w:shd w:val="clear" w:color="auto" w:fill="auto"/>
        <w:tabs>
          <w:tab w:pos="1134" w:val="left"/>
        </w:tabs>
        <w:bidi w:val="0"/>
        <w:spacing w:before="0" w:after="0" w:line="240" w:lineRule="auto"/>
        <w:ind w:left="0" w:right="0" w:firstLine="78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кишечная</w:t>
      </w:r>
    </w:p>
    <w:p>
      <w:pPr>
        <w:pStyle w:val="Style34"/>
        <w:keepNext w:val="0"/>
        <w:keepLines w:val="0"/>
        <w:widowControl w:val="0"/>
        <w:numPr>
          <w:ilvl w:val="0"/>
          <w:numId w:val="151"/>
        </w:numPr>
        <w:shd w:val="clear" w:color="auto" w:fill="auto"/>
        <w:tabs>
          <w:tab w:pos="1148" w:val="left"/>
        </w:tabs>
        <w:bidi w:val="0"/>
        <w:spacing w:before="0" w:after="0" w:line="240" w:lineRule="auto"/>
        <w:ind w:left="0" w:right="0" w:firstLine="78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костномозговая III степени тяжести</w:t>
      </w:r>
    </w:p>
    <w:p>
      <w:pPr>
        <w:pStyle w:val="Style34"/>
        <w:keepNext w:val="0"/>
        <w:keepLines w:val="0"/>
        <w:widowControl w:val="0"/>
        <w:numPr>
          <w:ilvl w:val="0"/>
          <w:numId w:val="151"/>
        </w:numPr>
        <w:shd w:val="clear" w:color="auto" w:fill="auto"/>
        <w:tabs>
          <w:tab w:pos="1138" w:val="left"/>
        </w:tabs>
        <w:bidi w:val="0"/>
        <w:spacing w:before="0" w:after="140" w:line="240" w:lineRule="auto"/>
        <w:ind w:left="0" w:right="0" w:firstLine="78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церебральная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lef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</w:p>
    <w:p>
      <w:pPr>
        <w:pStyle w:val="Style44"/>
        <w:keepNext/>
        <w:keepLines/>
        <w:widowControl w:val="0"/>
        <w:numPr>
          <w:ilvl w:val="0"/>
          <w:numId w:val="153"/>
        </w:numPr>
        <w:shd w:val="clear" w:color="auto" w:fill="auto"/>
        <w:tabs>
          <w:tab w:pos="450" w:val="left"/>
        </w:tabs>
        <w:bidi w:val="0"/>
        <w:spacing w:before="0" w:after="0" w:line="228" w:lineRule="auto"/>
        <w:ind w:left="340" w:right="0" w:hanging="340"/>
        <w:jc w:val="both"/>
      </w:pPr>
      <w:bookmarkStart w:id="134" w:name="bookmark134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периоды выделяют в клинической картине костномозго</w:t>
        <w:softHyphen/>
        <w:t>вой формы острой лучевой болезни:</w:t>
      </w:r>
      <w:bookmarkEnd w:id="134"/>
    </w:p>
    <w:p>
      <w:pPr>
        <w:pStyle w:val="Style34"/>
        <w:keepNext w:val="0"/>
        <w:keepLines w:val="0"/>
        <w:widowControl w:val="0"/>
        <w:numPr>
          <w:ilvl w:val="0"/>
          <w:numId w:val="155"/>
        </w:numPr>
        <w:shd w:val="clear" w:color="auto" w:fill="auto"/>
        <w:tabs>
          <w:tab w:pos="989" w:val="left"/>
        </w:tabs>
        <w:bidi w:val="0"/>
        <w:spacing w:before="0" w:after="0" w:line="230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период общей первичной реакции на облучение</w:t>
      </w:r>
    </w:p>
    <w:p>
      <w:pPr>
        <w:pStyle w:val="Style34"/>
        <w:keepNext w:val="0"/>
        <w:keepLines w:val="0"/>
        <w:widowControl w:val="0"/>
        <w:numPr>
          <w:ilvl w:val="0"/>
          <w:numId w:val="155"/>
        </w:numPr>
        <w:shd w:val="clear" w:color="auto" w:fill="auto"/>
        <w:tabs>
          <w:tab w:pos="1003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период разгара болезни</w:t>
      </w:r>
    </w:p>
    <w:p>
      <w:pPr>
        <w:pStyle w:val="Style34"/>
        <w:keepNext w:val="0"/>
        <w:keepLines w:val="0"/>
        <w:widowControl w:val="0"/>
        <w:numPr>
          <w:ilvl w:val="0"/>
          <w:numId w:val="155"/>
        </w:numPr>
        <w:shd w:val="clear" w:color="auto" w:fill="auto"/>
        <w:tabs>
          <w:tab w:pos="998" w:val="left"/>
        </w:tabs>
        <w:bidi w:val="0"/>
        <w:spacing w:before="0" w:after="0" w:line="230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период кардиоваскулярных расстройств</w:t>
      </w:r>
    </w:p>
    <w:p>
      <w:pPr>
        <w:pStyle w:val="Style34"/>
        <w:keepNext w:val="0"/>
        <w:keepLines w:val="0"/>
        <w:widowControl w:val="0"/>
        <w:numPr>
          <w:ilvl w:val="0"/>
          <w:numId w:val="155"/>
        </w:numPr>
        <w:shd w:val="clear" w:color="auto" w:fill="auto"/>
        <w:tabs>
          <w:tab w:pos="1008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период восстановления</w:t>
      </w:r>
    </w:p>
    <w:p>
      <w:pPr>
        <w:pStyle w:val="Style34"/>
        <w:keepNext w:val="0"/>
        <w:keepLines w:val="0"/>
        <w:widowControl w:val="0"/>
        <w:numPr>
          <w:ilvl w:val="0"/>
          <w:numId w:val="155"/>
        </w:numPr>
        <w:shd w:val="clear" w:color="auto" w:fill="auto"/>
        <w:tabs>
          <w:tab w:pos="998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гипотермический период</w:t>
      </w:r>
    </w:p>
    <w:p>
      <w:pPr>
        <w:pStyle w:val="Style34"/>
        <w:keepNext w:val="0"/>
        <w:keepLines w:val="0"/>
        <w:widowControl w:val="0"/>
        <w:numPr>
          <w:ilvl w:val="0"/>
          <w:numId w:val="155"/>
        </w:numPr>
        <w:shd w:val="clear" w:color="auto" w:fill="auto"/>
        <w:tabs>
          <w:tab w:pos="1003" w:val="left"/>
        </w:tabs>
        <w:bidi w:val="0"/>
        <w:spacing w:before="0" w:after="0" w:line="230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скрытый период</w:t>
      </w:r>
    </w:p>
    <w:p>
      <w:pPr>
        <w:pStyle w:val="Style34"/>
        <w:keepNext w:val="0"/>
        <w:keepLines w:val="0"/>
        <w:widowControl w:val="0"/>
        <w:numPr>
          <w:ilvl w:val="0"/>
          <w:numId w:val="155"/>
        </w:numPr>
        <w:shd w:val="clear" w:color="auto" w:fill="auto"/>
        <w:tabs>
          <w:tab w:pos="1003" w:val="left"/>
        </w:tabs>
        <w:bidi w:val="0"/>
        <w:spacing w:before="0" w:after="0" w:line="230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гипертермический период</w:t>
      </w:r>
    </w:p>
    <w:p>
      <w:pPr>
        <w:pStyle w:val="Style34"/>
        <w:keepNext w:val="0"/>
        <w:keepLines w:val="0"/>
        <w:widowControl w:val="0"/>
        <w:numPr>
          <w:ilvl w:val="0"/>
          <w:numId w:val="155"/>
        </w:numPr>
        <w:shd w:val="clear" w:color="auto" w:fill="auto"/>
        <w:tabs>
          <w:tab w:pos="1003" w:val="left"/>
        </w:tabs>
        <w:bidi w:val="0"/>
        <w:spacing w:before="0" w:after="0" w:line="230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первичной эритемы</w:t>
      </w:r>
    </w:p>
    <w:p>
      <w:pPr>
        <w:pStyle w:val="Style34"/>
        <w:keepNext w:val="0"/>
        <w:keepLines w:val="0"/>
        <w:widowControl w:val="0"/>
        <w:numPr>
          <w:ilvl w:val="0"/>
          <w:numId w:val="155"/>
        </w:numPr>
        <w:shd w:val="clear" w:color="auto" w:fill="auto"/>
        <w:tabs>
          <w:tab w:pos="1003" w:val="left"/>
        </w:tabs>
        <w:bidi w:val="0"/>
        <w:spacing w:before="0" w:after="0" w:line="230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ранней преходящей недееспособности</w:t>
      </w:r>
    </w:p>
    <w:p>
      <w:pPr>
        <w:pStyle w:val="Style34"/>
        <w:keepNext w:val="0"/>
        <w:keepLines w:val="0"/>
        <w:widowControl w:val="0"/>
        <w:numPr>
          <w:ilvl w:val="0"/>
          <w:numId w:val="155"/>
        </w:numPr>
        <w:shd w:val="clear" w:color="auto" w:fill="auto"/>
        <w:tabs>
          <w:tab w:pos="990" w:val="left"/>
        </w:tabs>
        <w:bidi w:val="0"/>
        <w:spacing w:before="0" w:after="140" w:line="230" w:lineRule="auto"/>
        <w:ind w:left="0" w:right="0" w:firstLine="5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сосудистый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lef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</w:p>
    <w:p>
      <w:pPr>
        <w:pStyle w:val="Style44"/>
        <w:keepNext/>
        <w:keepLines/>
        <w:widowControl w:val="0"/>
        <w:numPr>
          <w:ilvl w:val="0"/>
          <w:numId w:val="153"/>
        </w:numPr>
        <w:shd w:val="clear" w:color="auto" w:fill="auto"/>
        <w:tabs>
          <w:tab w:pos="450" w:val="left"/>
        </w:tabs>
        <w:bidi w:val="0"/>
        <w:spacing w:before="0" w:after="0" w:line="233" w:lineRule="auto"/>
        <w:ind w:left="340" w:right="0" w:hanging="340"/>
        <w:jc w:val="left"/>
      </w:pPr>
      <w:bookmarkStart w:id="136" w:name="bookmark136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Симптомокомплекс первичной реакции организма на облучение проявляется:</w:t>
      </w:r>
      <w:bookmarkEnd w:id="136"/>
    </w:p>
    <w:p>
      <w:pPr>
        <w:pStyle w:val="Style34"/>
        <w:keepNext w:val="0"/>
        <w:keepLines w:val="0"/>
        <w:widowControl w:val="0"/>
        <w:numPr>
          <w:ilvl w:val="0"/>
          <w:numId w:val="157"/>
        </w:numPr>
        <w:shd w:val="clear" w:color="auto" w:fill="auto"/>
        <w:tabs>
          <w:tab w:pos="984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слабостью</w:t>
      </w:r>
    </w:p>
    <w:p>
      <w:pPr>
        <w:pStyle w:val="Style34"/>
        <w:keepNext w:val="0"/>
        <w:keepLines w:val="0"/>
        <w:widowControl w:val="0"/>
        <w:numPr>
          <w:ilvl w:val="0"/>
          <w:numId w:val="157"/>
        </w:numPr>
        <w:shd w:val="clear" w:color="auto" w:fill="auto"/>
        <w:tabs>
          <w:tab w:pos="998" w:val="left"/>
        </w:tabs>
        <w:bidi w:val="0"/>
        <w:spacing w:before="0" w:after="0" w:line="230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головной болью</w:t>
      </w:r>
    </w:p>
    <w:p>
      <w:pPr>
        <w:pStyle w:val="Style34"/>
        <w:keepNext w:val="0"/>
        <w:keepLines w:val="0"/>
        <w:widowControl w:val="0"/>
        <w:numPr>
          <w:ilvl w:val="0"/>
          <w:numId w:val="157"/>
        </w:numPr>
        <w:shd w:val="clear" w:color="auto" w:fill="auto"/>
        <w:tabs>
          <w:tab w:pos="994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тошнотой</w:t>
      </w:r>
    </w:p>
    <w:p>
      <w:pPr>
        <w:pStyle w:val="Style34"/>
        <w:keepNext w:val="0"/>
        <w:keepLines w:val="0"/>
        <w:widowControl w:val="0"/>
        <w:numPr>
          <w:ilvl w:val="0"/>
          <w:numId w:val="157"/>
        </w:numPr>
        <w:shd w:val="clear" w:color="auto" w:fill="auto"/>
        <w:tabs>
          <w:tab w:pos="1008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рвотой</w:t>
      </w:r>
    </w:p>
    <w:p>
      <w:pPr>
        <w:pStyle w:val="Style34"/>
        <w:keepNext w:val="0"/>
        <w:keepLines w:val="0"/>
        <w:widowControl w:val="0"/>
        <w:numPr>
          <w:ilvl w:val="0"/>
          <w:numId w:val="157"/>
        </w:numPr>
        <w:shd w:val="clear" w:color="auto" w:fill="auto"/>
        <w:tabs>
          <w:tab w:pos="998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геморрагическим синдромом</w:t>
      </w:r>
    </w:p>
    <w:p>
      <w:pPr>
        <w:pStyle w:val="Style34"/>
        <w:keepNext w:val="0"/>
        <w:keepLines w:val="0"/>
        <w:widowControl w:val="0"/>
        <w:numPr>
          <w:ilvl w:val="0"/>
          <w:numId w:val="157"/>
        </w:numPr>
        <w:shd w:val="clear" w:color="auto" w:fill="auto"/>
        <w:tabs>
          <w:tab w:pos="998" w:val="left"/>
        </w:tabs>
        <w:bidi w:val="0"/>
        <w:spacing w:before="0" w:after="0" w:line="230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агранулоцитозом</w:t>
      </w:r>
    </w:p>
    <w:p>
      <w:pPr>
        <w:pStyle w:val="Style34"/>
        <w:keepNext w:val="0"/>
        <w:keepLines w:val="0"/>
        <w:widowControl w:val="0"/>
        <w:numPr>
          <w:ilvl w:val="0"/>
          <w:numId w:val="157"/>
        </w:numPr>
        <w:shd w:val="clear" w:color="auto" w:fill="auto"/>
        <w:tabs>
          <w:tab w:pos="1003" w:val="left"/>
        </w:tabs>
        <w:bidi w:val="0"/>
        <w:spacing w:before="0" w:after="0" w:line="230" w:lineRule="auto"/>
        <w:ind w:left="0" w:right="0" w:firstLine="6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повышением температуры тела</w:t>
      </w:r>
    </w:p>
    <w:p>
      <w:pPr>
        <w:pStyle w:val="Style34"/>
        <w:keepNext w:val="0"/>
        <w:keepLines w:val="0"/>
        <w:widowControl w:val="0"/>
        <w:numPr>
          <w:ilvl w:val="0"/>
          <w:numId w:val="157"/>
        </w:numPr>
        <w:shd w:val="clear" w:color="auto" w:fill="auto"/>
        <w:tabs>
          <w:tab w:pos="998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токсемией</w:t>
      </w:r>
    </w:p>
    <w:p>
      <w:pPr>
        <w:pStyle w:val="Style34"/>
        <w:keepNext w:val="0"/>
        <w:keepLines w:val="0"/>
        <w:widowControl w:val="0"/>
        <w:numPr>
          <w:ilvl w:val="0"/>
          <w:numId w:val="157"/>
        </w:numPr>
        <w:shd w:val="clear" w:color="auto" w:fill="auto"/>
        <w:tabs>
          <w:tab w:pos="1003" w:val="left"/>
        </w:tabs>
        <w:bidi w:val="0"/>
        <w:spacing w:before="0" w:after="0" w:line="23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кровоизлияниями</w:t>
      </w:r>
    </w:p>
    <w:p>
      <w:pPr>
        <w:pStyle w:val="Style34"/>
        <w:keepNext w:val="0"/>
        <w:keepLines w:val="0"/>
        <w:widowControl w:val="0"/>
        <w:numPr>
          <w:ilvl w:val="0"/>
          <w:numId w:val="157"/>
        </w:numPr>
        <w:shd w:val="clear" w:color="auto" w:fill="auto"/>
        <w:tabs>
          <w:tab w:pos="990" w:val="left"/>
        </w:tabs>
        <w:bidi w:val="0"/>
        <w:spacing w:before="0" w:after="0" w:line="230" w:lineRule="auto"/>
        <w:ind w:left="0" w:right="0" w:firstLine="540"/>
        <w:jc w:val="left"/>
        <w:sectPr>
          <w:footnotePr>
            <w:pos w:val="pageBottom"/>
            <w:numFmt w:val="chicago"/>
            <w:numRestart w:val="continuous"/>
            <w15:footnoteColumns w:val="1"/>
          </w:footnotePr>
          <w:pgSz w:w="7368" w:h="12240"/>
          <w:pgMar w:top="1094" w:right="355" w:bottom="1094" w:left="74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утратой работоспособности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3" w:lineRule="auto"/>
        <w:ind w:left="0" w:right="0" w:firstLine="0"/>
        <w:jc w:val="lef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</w:p>
    <w:p>
      <w:pPr>
        <w:pStyle w:val="Style44"/>
        <w:keepNext/>
        <w:keepLines/>
        <w:widowControl w:val="0"/>
        <w:numPr>
          <w:ilvl w:val="0"/>
          <w:numId w:val="153"/>
        </w:numPr>
        <w:shd w:val="clear" w:color="auto" w:fill="auto"/>
        <w:tabs>
          <w:tab w:pos="440" w:val="left"/>
        </w:tabs>
        <w:bidi w:val="0"/>
        <w:spacing w:before="0" w:after="0" w:line="223" w:lineRule="auto"/>
        <w:ind w:left="420" w:right="0" w:hanging="420"/>
        <w:jc w:val="left"/>
      </w:pPr>
      <w:bookmarkStart w:id="138" w:name="bookmark138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Наиболее патогенетически значимыми проявлениями периода разгара острой лучевой болезни являются:</w:t>
      </w:r>
      <w:bookmarkEnd w:id="138"/>
    </w:p>
    <w:p>
      <w:pPr>
        <w:pStyle w:val="Style34"/>
        <w:keepNext w:val="0"/>
        <w:keepLines w:val="0"/>
        <w:widowControl w:val="0"/>
        <w:numPr>
          <w:ilvl w:val="0"/>
          <w:numId w:val="159"/>
        </w:numPr>
        <w:shd w:val="clear" w:color="auto" w:fill="auto"/>
        <w:tabs>
          <w:tab w:pos="1044" w:val="left"/>
        </w:tabs>
        <w:bidi w:val="0"/>
        <w:spacing w:before="0" w:after="0" w:line="223" w:lineRule="auto"/>
        <w:ind w:left="0" w:right="0" w:firstLine="7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инфекционные осложнения</w:t>
      </w:r>
    </w:p>
    <w:p>
      <w:pPr>
        <w:pStyle w:val="Style34"/>
        <w:keepNext w:val="0"/>
        <w:keepLines w:val="0"/>
        <w:widowControl w:val="0"/>
        <w:numPr>
          <w:ilvl w:val="0"/>
          <w:numId w:val="159"/>
        </w:numPr>
        <w:shd w:val="clear" w:color="auto" w:fill="auto"/>
        <w:tabs>
          <w:tab w:pos="1058" w:val="left"/>
        </w:tabs>
        <w:bidi w:val="0"/>
        <w:spacing w:before="0" w:after="0" w:line="223" w:lineRule="auto"/>
        <w:ind w:left="0" w:right="0" w:firstLine="7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трофические расстройства</w:t>
      </w:r>
    </w:p>
    <w:p>
      <w:pPr>
        <w:pStyle w:val="Style34"/>
        <w:keepNext w:val="0"/>
        <w:keepLines w:val="0"/>
        <w:widowControl w:val="0"/>
        <w:numPr>
          <w:ilvl w:val="0"/>
          <w:numId w:val="159"/>
        </w:numPr>
        <w:shd w:val="clear" w:color="auto" w:fill="auto"/>
        <w:tabs>
          <w:tab w:pos="1058" w:val="left"/>
        </w:tabs>
        <w:bidi w:val="0"/>
        <w:spacing w:before="0" w:after="0" w:line="223" w:lineRule="auto"/>
        <w:ind w:left="0" w:right="0" w:firstLine="7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геморрагический синдром</w:t>
      </w:r>
    </w:p>
    <w:p>
      <w:pPr>
        <w:pStyle w:val="Style34"/>
        <w:keepNext w:val="0"/>
        <w:keepLines w:val="0"/>
        <w:widowControl w:val="0"/>
        <w:numPr>
          <w:ilvl w:val="0"/>
          <w:numId w:val="159"/>
        </w:numPr>
        <w:shd w:val="clear" w:color="auto" w:fill="auto"/>
        <w:tabs>
          <w:tab w:pos="1068" w:val="left"/>
        </w:tabs>
        <w:bidi w:val="0"/>
        <w:spacing w:before="0" w:after="0" w:line="223" w:lineRule="auto"/>
        <w:ind w:left="0" w:right="0" w:firstLine="7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сердечная недостаточность</w:t>
      </w:r>
    </w:p>
    <w:p>
      <w:pPr>
        <w:pStyle w:val="Style34"/>
        <w:keepNext w:val="0"/>
        <w:keepLines w:val="0"/>
        <w:widowControl w:val="0"/>
        <w:numPr>
          <w:ilvl w:val="0"/>
          <w:numId w:val="159"/>
        </w:numPr>
        <w:shd w:val="clear" w:color="auto" w:fill="auto"/>
        <w:tabs>
          <w:tab w:pos="1058" w:val="left"/>
        </w:tabs>
        <w:bidi w:val="0"/>
        <w:spacing w:before="0" w:after="0" w:line="223" w:lineRule="auto"/>
        <w:ind w:left="0" w:right="0" w:firstLine="70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сосудистая недостаточность</w:t>
      </w:r>
    </w:p>
    <w:p>
      <w:pPr>
        <w:pStyle w:val="Style34"/>
        <w:keepNext w:val="0"/>
        <w:keepLines w:val="0"/>
        <w:widowControl w:val="0"/>
        <w:numPr>
          <w:ilvl w:val="0"/>
          <w:numId w:val="159"/>
        </w:numPr>
        <w:shd w:val="clear" w:color="auto" w:fill="auto"/>
        <w:tabs>
          <w:tab w:pos="1063" w:val="left"/>
        </w:tabs>
        <w:bidi w:val="0"/>
        <w:spacing w:before="0" w:after="0" w:line="223" w:lineRule="auto"/>
        <w:ind w:left="0" w:right="0" w:firstLine="70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расстройства функции желудочно-кишечного тракта</w:t>
      </w:r>
    </w:p>
    <w:p>
      <w:pPr>
        <w:pStyle w:val="Style34"/>
        <w:keepNext w:val="0"/>
        <w:keepLines w:val="0"/>
        <w:widowControl w:val="0"/>
        <w:numPr>
          <w:ilvl w:val="0"/>
          <w:numId w:val="159"/>
        </w:numPr>
        <w:shd w:val="clear" w:color="auto" w:fill="auto"/>
        <w:tabs>
          <w:tab w:pos="1058" w:val="left"/>
        </w:tabs>
        <w:bidi w:val="0"/>
        <w:spacing w:before="0" w:after="0" w:line="223" w:lineRule="auto"/>
        <w:ind w:left="92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интоксикация продуктами распада тканей, радиотокси</w:t>
        <w:softHyphen/>
        <w:t>нами и токсинами кишечной микрофлоры</w:t>
      </w:r>
    </w:p>
    <w:p>
      <w:pPr>
        <w:pStyle w:val="Style34"/>
        <w:keepNext w:val="0"/>
        <w:keepLines w:val="0"/>
        <w:widowControl w:val="0"/>
        <w:numPr>
          <w:ilvl w:val="0"/>
          <w:numId w:val="159"/>
        </w:numPr>
        <w:shd w:val="clear" w:color="auto" w:fill="auto"/>
        <w:tabs>
          <w:tab w:pos="1058" w:val="left"/>
        </w:tabs>
        <w:bidi w:val="0"/>
        <w:spacing w:before="0" w:after="0" w:line="223" w:lineRule="auto"/>
        <w:ind w:left="0" w:right="0" w:firstLine="70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гибель нейронов головного мозга</w:t>
      </w:r>
    </w:p>
    <w:p>
      <w:pPr>
        <w:pStyle w:val="Style34"/>
        <w:keepNext w:val="0"/>
        <w:keepLines w:val="0"/>
        <w:widowControl w:val="0"/>
        <w:numPr>
          <w:ilvl w:val="0"/>
          <w:numId w:val="159"/>
        </w:numPr>
        <w:shd w:val="clear" w:color="auto" w:fill="auto"/>
        <w:tabs>
          <w:tab w:pos="1063" w:val="left"/>
        </w:tabs>
        <w:bidi w:val="0"/>
        <w:spacing w:before="0" w:after="0" w:line="223" w:lineRule="auto"/>
        <w:ind w:left="0" w:right="0" w:firstLine="7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лимфопения</w:t>
      </w:r>
    </w:p>
    <w:p>
      <w:pPr>
        <w:pStyle w:val="Style34"/>
        <w:keepNext w:val="0"/>
        <w:keepLines w:val="0"/>
        <w:widowControl w:val="0"/>
        <w:numPr>
          <w:ilvl w:val="0"/>
          <w:numId w:val="159"/>
        </w:numPr>
        <w:shd w:val="clear" w:color="auto" w:fill="auto"/>
        <w:tabs>
          <w:tab w:pos="1045" w:val="left"/>
        </w:tabs>
        <w:bidi w:val="0"/>
        <w:spacing w:before="0" w:after="140" w:line="223" w:lineRule="auto"/>
        <w:ind w:left="0" w:right="0" w:firstLine="60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сосудистая недостаточность, отек головного мозга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3" w:lineRule="auto"/>
        <w:ind w:left="0" w:right="0" w:firstLine="0"/>
        <w:jc w:val="lef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</w:p>
    <w:p>
      <w:pPr>
        <w:pStyle w:val="Style44"/>
        <w:keepNext/>
        <w:keepLines/>
        <w:widowControl w:val="0"/>
        <w:numPr>
          <w:ilvl w:val="0"/>
          <w:numId w:val="153"/>
        </w:numPr>
        <w:shd w:val="clear" w:color="auto" w:fill="auto"/>
        <w:tabs>
          <w:tab w:pos="440" w:val="left"/>
        </w:tabs>
        <w:bidi w:val="0"/>
        <w:spacing w:before="0" w:after="0" w:line="218" w:lineRule="auto"/>
        <w:ind w:left="420" w:right="0" w:hanging="420"/>
        <w:jc w:val="both"/>
      </w:pPr>
      <w:bookmarkStart w:id="140" w:name="bookmark140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купирования симптомов первичной реакции на облучение можно использовать:</w:t>
      </w:r>
      <w:bookmarkEnd w:id="140"/>
    </w:p>
    <w:p>
      <w:pPr>
        <w:pStyle w:val="Style34"/>
        <w:keepNext w:val="0"/>
        <w:keepLines w:val="0"/>
        <w:widowControl w:val="0"/>
        <w:numPr>
          <w:ilvl w:val="0"/>
          <w:numId w:val="161"/>
        </w:numPr>
        <w:shd w:val="clear" w:color="auto" w:fill="auto"/>
        <w:tabs>
          <w:tab w:pos="1039" w:val="left"/>
        </w:tabs>
        <w:bidi w:val="0"/>
        <w:spacing w:before="0" w:after="0" w:line="223" w:lineRule="auto"/>
        <w:ind w:left="0" w:right="0" w:firstLine="7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цистамин</w:t>
      </w:r>
    </w:p>
    <w:p>
      <w:pPr>
        <w:pStyle w:val="Style34"/>
        <w:keepNext w:val="0"/>
        <w:keepLines w:val="0"/>
        <w:widowControl w:val="0"/>
        <w:numPr>
          <w:ilvl w:val="0"/>
          <w:numId w:val="161"/>
        </w:numPr>
        <w:shd w:val="clear" w:color="auto" w:fill="auto"/>
        <w:tabs>
          <w:tab w:pos="1063" w:val="left"/>
        </w:tabs>
        <w:bidi w:val="0"/>
        <w:spacing w:before="0" w:after="0" w:line="223" w:lineRule="auto"/>
        <w:ind w:left="0" w:right="0" w:firstLine="7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инд рал ин</w:t>
      </w:r>
    </w:p>
    <w:p>
      <w:pPr>
        <w:pStyle w:val="Style34"/>
        <w:keepNext w:val="0"/>
        <w:keepLines w:val="0"/>
        <w:widowControl w:val="0"/>
        <w:numPr>
          <w:ilvl w:val="0"/>
          <w:numId w:val="161"/>
        </w:numPr>
        <w:shd w:val="clear" w:color="auto" w:fill="auto"/>
        <w:tabs>
          <w:tab w:pos="1058" w:val="left"/>
        </w:tabs>
        <w:bidi w:val="0"/>
        <w:spacing w:before="0" w:after="0" w:line="223" w:lineRule="auto"/>
        <w:ind w:left="0" w:right="0" w:firstLine="7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латран</w:t>
      </w:r>
    </w:p>
    <w:p>
      <w:pPr>
        <w:pStyle w:val="Style34"/>
        <w:keepNext w:val="0"/>
        <w:keepLines w:val="0"/>
        <w:widowControl w:val="0"/>
        <w:numPr>
          <w:ilvl w:val="0"/>
          <w:numId w:val="161"/>
        </w:numPr>
        <w:shd w:val="clear" w:color="auto" w:fill="auto"/>
        <w:tabs>
          <w:tab w:pos="1063" w:val="left"/>
        </w:tabs>
        <w:bidi w:val="0"/>
        <w:spacing w:before="0" w:after="0" w:line="223" w:lineRule="auto"/>
        <w:ind w:left="0" w:right="0" w:firstLine="7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диметпрамид</w:t>
      </w:r>
    </w:p>
    <w:p>
      <w:pPr>
        <w:pStyle w:val="Style34"/>
        <w:keepNext w:val="0"/>
        <w:keepLines w:val="0"/>
        <w:widowControl w:val="0"/>
        <w:numPr>
          <w:ilvl w:val="0"/>
          <w:numId w:val="161"/>
        </w:numPr>
        <w:shd w:val="clear" w:color="auto" w:fill="auto"/>
        <w:tabs>
          <w:tab w:pos="1058" w:val="left"/>
        </w:tabs>
        <w:bidi w:val="0"/>
        <w:spacing w:before="0" w:after="0" w:line="223" w:lineRule="auto"/>
        <w:ind w:left="0" w:right="0" w:firstLine="7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никотинамид</w:t>
      </w:r>
    </w:p>
    <w:p>
      <w:pPr>
        <w:pStyle w:val="Style34"/>
        <w:keepNext w:val="0"/>
        <w:keepLines w:val="0"/>
        <w:widowControl w:val="0"/>
        <w:numPr>
          <w:ilvl w:val="0"/>
          <w:numId w:val="161"/>
        </w:numPr>
        <w:shd w:val="clear" w:color="auto" w:fill="auto"/>
        <w:tabs>
          <w:tab w:pos="1063" w:val="left"/>
        </w:tabs>
        <w:bidi w:val="0"/>
        <w:spacing w:before="0" w:after="140" w:line="223" w:lineRule="auto"/>
        <w:ind w:left="0" w:right="0" w:firstLine="7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метацин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3" w:lineRule="auto"/>
        <w:ind w:left="0" w:right="0" w:firstLine="0"/>
        <w:jc w:val="lef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</w:p>
    <w:p>
      <w:pPr>
        <w:pStyle w:val="Style44"/>
        <w:keepNext/>
        <w:keepLines/>
        <w:widowControl w:val="0"/>
        <w:numPr>
          <w:ilvl w:val="0"/>
          <w:numId w:val="153"/>
        </w:numPr>
        <w:shd w:val="clear" w:color="auto" w:fill="auto"/>
        <w:tabs>
          <w:tab w:pos="459" w:val="left"/>
        </w:tabs>
        <w:bidi w:val="0"/>
        <w:spacing w:before="0" w:after="0" w:line="223" w:lineRule="auto"/>
        <w:ind w:left="420" w:right="0" w:hanging="420"/>
        <w:jc w:val="both"/>
      </w:pPr>
      <w:bookmarkStart w:id="142" w:name="bookmark142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 средствам и методам ранней патогенетической терапии ради</w:t>
        <w:softHyphen/>
        <w:t>ационных поражений относятся:</w:t>
      </w:r>
      <w:bookmarkEnd w:id="142"/>
    </w:p>
    <w:p>
      <w:pPr>
        <w:pStyle w:val="Style34"/>
        <w:keepNext w:val="0"/>
        <w:keepLines w:val="0"/>
        <w:widowControl w:val="0"/>
        <w:numPr>
          <w:ilvl w:val="0"/>
          <w:numId w:val="163"/>
        </w:numPr>
        <w:shd w:val="clear" w:color="auto" w:fill="auto"/>
        <w:tabs>
          <w:tab w:pos="1039" w:val="left"/>
        </w:tabs>
        <w:bidi w:val="0"/>
        <w:spacing w:before="0" w:after="0" w:line="223" w:lineRule="auto"/>
        <w:ind w:left="0" w:right="0" w:firstLine="70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дезинтоксикационные средства и методы</w:t>
      </w:r>
    </w:p>
    <w:p>
      <w:pPr>
        <w:pStyle w:val="Style34"/>
        <w:keepNext w:val="0"/>
        <w:keepLines w:val="0"/>
        <w:widowControl w:val="0"/>
        <w:numPr>
          <w:ilvl w:val="0"/>
          <w:numId w:val="163"/>
        </w:numPr>
        <w:shd w:val="clear" w:color="auto" w:fill="auto"/>
        <w:tabs>
          <w:tab w:pos="1058" w:val="left"/>
        </w:tabs>
        <w:bidi w:val="0"/>
        <w:spacing w:before="0" w:after="0" w:line="218" w:lineRule="auto"/>
        <w:ind w:left="92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средства, понижающие утилизацию кислорода в клет</w:t>
        <w:softHyphen/>
        <w:t>ках</w:t>
      </w:r>
    </w:p>
    <w:p>
      <w:pPr>
        <w:pStyle w:val="Style34"/>
        <w:keepNext w:val="0"/>
        <w:keepLines w:val="0"/>
        <w:widowControl w:val="0"/>
        <w:numPr>
          <w:ilvl w:val="0"/>
          <w:numId w:val="163"/>
        </w:numPr>
        <w:shd w:val="clear" w:color="auto" w:fill="auto"/>
        <w:tabs>
          <w:tab w:pos="1058" w:val="left"/>
        </w:tabs>
        <w:bidi w:val="0"/>
        <w:spacing w:before="0" w:after="0" w:line="223" w:lineRule="auto"/>
        <w:ind w:left="0" w:right="0" w:firstLine="70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иммуномодуляторы</w:t>
      </w:r>
    </w:p>
    <w:p>
      <w:pPr>
        <w:pStyle w:val="Style34"/>
        <w:keepNext w:val="0"/>
        <w:keepLines w:val="0"/>
        <w:widowControl w:val="0"/>
        <w:numPr>
          <w:ilvl w:val="0"/>
          <w:numId w:val="163"/>
        </w:numPr>
        <w:shd w:val="clear" w:color="auto" w:fill="auto"/>
        <w:tabs>
          <w:tab w:pos="1063" w:val="left"/>
        </w:tabs>
        <w:bidi w:val="0"/>
        <w:spacing w:before="0" w:after="0" w:line="223" w:lineRule="auto"/>
        <w:ind w:left="0" w:right="0" w:firstLine="7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адаптогены</w:t>
      </w:r>
    </w:p>
    <w:p>
      <w:pPr>
        <w:pStyle w:val="Style34"/>
        <w:keepNext w:val="0"/>
        <w:keepLines w:val="0"/>
        <w:widowControl w:val="0"/>
        <w:numPr>
          <w:ilvl w:val="0"/>
          <w:numId w:val="163"/>
        </w:numPr>
        <w:shd w:val="clear" w:color="auto" w:fill="auto"/>
        <w:tabs>
          <w:tab w:pos="1058" w:val="left"/>
        </w:tabs>
        <w:bidi w:val="0"/>
        <w:spacing w:before="0" w:after="140" w:line="223" w:lineRule="auto"/>
        <w:ind w:left="0" w:right="0" w:firstLine="7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стимуляторы регенерации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3" w:lineRule="auto"/>
        <w:ind w:left="0" w:right="0" w:firstLine="0"/>
        <w:jc w:val="lef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</w:p>
    <w:p>
      <w:pPr>
        <w:pStyle w:val="Style44"/>
        <w:keepNext/>
        <w:keepLines/>
        <w:widowControl w:val="0"/>
        <w:numPr>
          <w:ilvl w:val="0"/>
          <w:numId w:val="153"/>
        </w:numPr>
        <w:shd w:val="clear" w:color="auto" w:fill="auto"/>
        <w:tabs>
          <w:tab w:pos="459" w:val="left"/>
        </w:tabs>
        <w:bidi w:val="0"/>
        <w:spacing w:before="0" w:after="0" w:line="223" w:lineRule="auto"/>
        <w:ind w:left="0" w:right="0" w:firstLine="0"/>
        <w:jc w:val="left"/>
      </w:pPr>
      <w:bookmarkStart w:id="144" w:name="bookmark144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Особенности нейтронного воздействия на организм:</w:t>
      </w:r>
      <w:bookmarkEnd w:id="144"/>
    </w:p>
    <w:p>
      <w:pPr>
        <w:pStyle w:val="Style34"/>
        <w:keepNext w:val="0"/>
        <w:keepLines w:val="0"/>
        <w:widowControl w:val="0"/>
        <w:numPr>
          <w:ilvl w:val="0"/>
          <w:numId w:val="165"/>
        </w:numPr>
        <w:shd w:val="clear" w:color="auto" w:fill="auto"/>
        <w:tabs>
          <w:tab w:pos="1044" w:val="left"/>
        </w:tabs>
        <w:bidi w:val="0"/>
        <w:spacing w:before="0" w:after="0" w:line="240" w:lineRule="auto"/>
        <w:ind w:left="920" w:right="0" w:hanging="22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19" w:right="380" w:bottom="823" w:left="170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более высокое значение линейной передачи энергии по сравнению с у-излучением</w:t>
      </w:r>
    </w:p>
    <w:p>
      <w:pPr>
        <w:pStyle w:val="Style34"/>
        <w:keepNext w:val="0"/>
        <w:keepLines w:val="0"/>
        <w:widowControl w:val="0"/>
        <w:numPr>
          <w:ilvl w:val="0"/>
          <w:numId w:val="165"/>
        </w:numPr>
        <w:shd w:val="clear" w:color="auto" w:fill="auto"/>
        <w:tabs>
          <w:tab w:pos="1023" w:val="left"/>
        </w:tabs>
        <w:bidi w:val="0"/>
        <w:spacing w:before="0" w:after="0" w:line="240" w:lineRule="auto"/>
        <w:ind w:left="88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линейная плотность ионизации при нейтронном облу</w:t>
        <w:softHyphen/>
        <w:t>чении ниже, чем при воздействии у-лучей</w:t>
      </w:r>
    </w:p>
    <w:p>
      <w:pPr>
        <w:pStyle w:val="Style34"/>
        <w:keepNext w:val="0"/>
        <w:keepLines w:val="0"/>
        <w:widowControl w:val="0"/>
        <w:numPr>
          <w:ilvl w:val="0"/>
          <w:numId w:val="165"/>
        </w:numPr>
        <w:shd w:val="clear" w:color="auto" w:fill="auto"/>
        <w:tabs>
          <w:tab w:pos="1018" w:val="left"/>
        </w:tabs>
        <w:bidi w:val="0"/>
        <w:spacing w:before="0" w:after="0" w:line="240" w:lineRule="auto"/>
        <w:ind w:left="88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молекулярные повреждения легче поддаются репара</w:t>
        <w:softHyphen/>
        <w:t>ции, чем повреждения при у-облучении</w:t>
      </w:r>
    </w:p>
    <w:p>
      <w:pPr>
        <w:pStyle w:val="Style34"/>
        <w:keepNext w:val="0"/>
        <w:keepLines w:val="0"/>
        <w:widowControl w:val="0"/>
        <w:numPr>
          <w:ilvl w:val="0"/>
          <w:numId w:val="165"/>
        </w:numPr>
        <w:shd w:val="clear" w:color="auto" w:fill="auto"/>
        <w:tabs>
          <w:tab w:pos="1028" w:val="left"/>
        </w:tabs>
        <w:bidi w:val="0"/>
        <w:spacing w:before="0" w:after="0" w:line="240" w:lineRule="auto"/>
        <w:ind w:left="88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поглощенная доза распределяется по телу менее равно</w:t>
        <w:softHyphen/>
        <w:t>мерно по сравнению с у-облучением</w:t>
      </w:r>
    </w:p>
    <w:p>
      <w:pPr>
        <w:pStyle w:val="Style34"/>
        <w:keepNext w:val="0"/>
        <w:keepLines w:val="0"/>
        <w:widowControl w:val="0"/>
        <w:numPr>
          <w:ilvl w:val="0"/>
          <w:numId w:val="165"/>
        </w:numPr>
        <w:shd w:val="clear" w:color="auto" w:fill="auto"/>
        <w:tabs>
          <w:tab w:pos="1018" w:val="left"/>
        </w:tabs>
        <w:bidi w:val="0"/>
        <w:spacing w:before="0" w:after="0" w:line="240" w:lineRule="auto"/>
        <w:ind w:left="88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меньшая проникающая способность по сравнению с рентгеновскими и у-излучениями</w:t>
      </w:r>
    </w:p>
    <w:p>
      <w:pPr>
        <w:pStyle w:val="Style34"/>
        <w:keepNext w:val="0"/>
        <w:keepLines w:val="0"/>
        <w:widowControl w:val="0"/>
        <w:numPr>
          <w:ilvl w:val="0"/>
          <w:numId w:val="165"/>
        </w:numPr>
        <w:shd w:val="clear" w:color="auto" w:fill="auto"/>
        <w:tabs>
          <w:tab w:pos="1023" w:val="left"/>
        </w:tabs>
        <w:bidi w:val="0"/>
        <w:spacing w:before="0" w:after="0" w:line="240" w:lineRule="auto"/>
        <w:ind w:left="88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сильнее поражается кишечный эпителий, по сравне</w:t>
        <w:softHyphen/>
        <w:t>нию с кроветворной тканью</w:t>
      </w:r>
    </w:p>
    <w:p>
      <w:pPr>
        <w:pStyle w:val="Style34"/>
        <w:keepNext w:val="0"/>
        <w:keepLines w:val="0"/>
        <w:widowControl w:val="0"/>
        <w:numPr>
          <w:ilvl w:val="0"/>
          <w:numId w:val="165"/>
        </w:numPr>
        <w:shd w:val="clear" w:color="auto" w:fill="auto"/>
        <w:tabs>
          <w:tab w:pos="1018" w:val="left"/>
        </w:tabs>
        <w:bidi w:val="0"/>
        <w:spacing w:before="0" w:after="0" w:line="240" w:lineRule="auto"/>
        <w:ind w:left="88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более выражено поражение кроветворной ткани, по сравнению с другими видами облучения</w:t>
      </w:r>
    </w:p>
    <w:p>
      <w:pPr>
        <w:pStyle w:val="Style34"/>
        <w:keepNext w:val="0"/>
        <w:keepLines w:val="0"/>
        <w:widowControl w:val="0"/>
        <w:numPr>
          <w:ilvl w:val="0"/>
          <w:numId w:val="165"/>
        </w:numPr>
        <w:shd w:val="clear" w:color="auto" w:fill="auto"/>
        <w:tabs>
          <w:tab w:pos="1018" w:val="left"/>
        </w:tabs>
        <w:bidi w:val="0"/>
        <w:spacing w:before="0" w:after="0" w:line="240" w:lineRule="auto"/>
        <w:ind w:left="88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большая выраженность первичной реакции на облуче</w:t>
        <w:softHyphen/>
        <w:t>ние и РПН-синдрома</w:t>
      </w:r>
    </w:p>
    <w:p>
      <w:pPr>
        <w:pStyle w:val="Style34"/>
        <w:keepNext w:val="0"/>
        <w:keepLines w:val="0"/>
        <w:widowControl w:val="0"/>
        <w:numPr>
          <w:ilvl w:val="0"/>
          <w:numId w:val="165"/>
        </w:numPr>
        <w:shd w:val="clear" w:color="auto" w:fill="auto"/>
        <w:tabs>
          <w:tab w:pos="1028" w:val="left"/>
        </w:tabs>
        <w:bidi w:val="0"/>
        <w:spacing w:before="0" w:after="0" w:line="240" w:lineRule="auto"/>
        <w:ind w:left="88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признаки более тяжелого повреждения органов и тка</w:t>
        <w:softHyphen/>
        <w:t>ней на стороне тела, обращенной к источнику излуче</w:t>
        <w:softHyphen/>
        <w:t>ния</w:t>
      </w:r>
    </w:p>
    <w:p>
      <w:pPr>
        <w:pStyle w:val="Style34"/>
        <w:keepNext w:val="0"/>
        <w:keepLines w:val="0"/>
        <w:widowControl w:val="0"/>
        <w:numPr>
          <w:ilvl w:val="0"/>
          <w:numId w:val="165"/>
        </w:numPr>
        <w:shd w:val="clear" w:color="auto" w:fill="auto"/>
        <w:tabs>
          <w:tab w:pos="1005" w:val="left"/>
        </w:tabs>
        <w:bidi w:val="0"/>
        <w:spacing w:before="0" w:after="140" w:line="240" w:lineRule="auto"/>
        <w:ind w:left="880" w:right="0" w:hanging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менее выражена общая первичная реакция на облуче</w:t>
        <w:softHyphen/>
        <w:t>ние, период разгара наступает позже, чем при у-облуче</w:t>
        <w:softHyphen/>
        <w:t>нии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Дополните предложение</w:t>
      </w:r>
    </w:p>
    <w:p>
      <w:pPr>
        <w:pStyle w:val="Style34"/>
        <w:keepNext w:val="0"/>
        <w:keepLines w:val="0"/>
        <w:widowControl w:val="0"/>
        <w:numPr>
          <w:ilvl w:val="0"/>
          <w:numId w:val="153"/>
        </w:numPr>
        <w:shd w:val="clear" w:color="auto" w:fill="auto"/>
        <w:tabs>
          <w:tab w:pos="459" w:val="left"/>
        </w:tabs>
        <w:bidi w:val="0"/>
        <w:spacing w:before="0" w:after="0" w:line="228" w:lineRule="auto"/>
        <w:ind w:left="360" w:right="0" w:hanging="360"/>
        <w:jc w:val="both"/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>Ранняя преходящая недееспособность — симптомокомплекс, развивающийся только при облучении организма в дозах выше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28" w:lineRule="auto"/>
        <w:ind w:left="0" w:right="0" w:firstLine="360"/>
        <w:jc w:val="both"/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>Гр при форме острой лучевой болезни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</w:p>
    <w:p>
      <w:pPr>
        <w:pStyle w:val="Style44"/>
        <w:keepNext/>
        <w:keepLines/>
        <w:widowControl w:val="0"/>
        <w:numPr>
          <w:ilvl w:val="0"/>
          <w:numId w:val="153"/>
        </w:numPr>
        <w:shd w:val="clear" w:color="auto" w:fill="auto"/>
        <w:tabs>
          <w:tab w:pos="459" w:val="left"/>
        </w:tabs>
        <w:bidi w:val="0"/>
        <w:spacing w:before="0" w:after="0" w:line="240" w:lineRule="auto"/>
        <w:ind w:left="0" w:right="0" w:firstLine="0"/>
        <w:jc w:val="both"/>
      </w:pPr>
      <w:bookmarkStart w:id="146" w:name="bookmark146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Основные пути поступления радионуклидов в организм:</w:t>
      </w:r>
      <w:bookmarkEnd w:id="146"/>
    </w:p>
    <w:p>
      <w:pPr>
        <w:pStyle w:val="Style34"/>
        <w:keepNext w:val="0"/>
        <w:keepLines w:val="0"/>
        <w:widowControl w:val="0"/>
        <w:numPr>
          <w:ilvl w:val="0"/>
          <w:numId w:val="167"/>
        </w:numPr>
        <w:shd w:val="clear" w:color="auto" w:fill="auto"/>
        <w:tabs>
          <w:tab w:pos="984" w:val="left"/>
        </w:tabs>
        <w:bidi w:val="0"/>
        <w:spacing w:before="0" w:after="0" w:line="24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через ожоговые поверхности</w:t>
      </w:r>
    </w:p>
    <w:p>
      <w:pPr>
        <w:pStyle w:val="Style34"/>
        <w:keepNext w:val="0"/>
        <w:keepLines w:val="0"/>
        <w:widowControl w:val="0"/>
        <w:numPr>
          <w:ilvl w:val="0"/>
          <w:numId w:val="167"/>
        </w:numPr>
        <w:shd w:val="clear" w:color="auto" w:fill="auto"/>
        <w:tabs>
          <w:tab w:pos="998" w:val="left"/>
        </w:tabs>
        <w:bidi w:val="0"/>
        <w:spacing w:before="0" w:after="0" w:line="24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алиментарное поступление</w:t>
      </w:r>
    </w:p>
    <w:p>
      <w:pPr>
        <w:pStyle w:val="Style34"/>
        <w:keepNext w:val="0"/>
        <w:keepLines w:val="0"/>
        <w:widowControl w:val="0"/>
        <w:numPr>
          <w:ilvl w:val="0"/>
          <w:numId w:val="167"/>
        </w:numPr>
        <w:shd w:val="clear" w:color="auto" w:fill="auto"/>
        <w:tabs>
          <w:tab w:pos="998" w:val="left"/>
        </w:tabs>
        <w:bidi w:val="0"/>
        <w:spacing w:before="0" w:after="0" w:line="24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 пищей</w:t>
      </w:r>
    </w:p>
    <w:p>
      <w:pPr>
        <w:pStyle w:val="Style34"/>
        <w:keepNext w:val="0"/>
        <w:keepLines w:val="0"/>
        <w:widowControl w:val="0"/>
        <w:numPr>
          <w:ilvl w:val="0"/>
          <w:numId w:val="167"/>
        </w:numPr>
        <w:shd w:val="clear" w:color="auto" w:fill="auto"/>
        <w:tabs>
          <w:tab w:pos="1008" w:val="left"/>
        </w:tabs>
        <w:bidi w:val="0"/>
        <w:spacing w:before="0" w:after="0" w:line="24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перректальный</w:t>
      </w:r>
    </w:p>
    <w:p>
      <w:pPr>
        <w:pStyle w:val="Style34"/>
        <w:keepNext w:val="0"/>
        <w:keepLines w:val="0"/>
        <w:widowControl w:val="0"/>
        <w:numPr>
          <w:ilvl w:val="0"/>
          <w:numId w:val="167"/>
        </w:numPr>
        <w:shd w:val="clear" w:color="auto" w:fill="auto"/>
        <w:tabs>
          <w:tab w:pos="1003" w:val="left"/>
        </w:tabs>
        <w:bidi w:val="0"/>
        <w:spacing w:before="0" w:after="0" w:line="24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 вдыхаемым воздухом</w:t>
      </w:r>
    </w:p>
    <w:p>
      <w:pPr>
        <w:pStyle w:val="Style34"/>
        <w:keepNext w:val="0"/>
        <w:keepLines w:val="0"/>
        <w:widowControl w:val="0"/>
        <w:numPr>
          <w:ilvl w:val="0"/>
          <w:numId w:val="167"/>
        </w:numPr>
        <w:shd w:val="clear" w:color="auto" w:fill="auto"/>
        <w:tabs>
          <w:tab w:pos="1003" w:val="left"/>
        </w:tabs>
        <w:bidi w:val="0"/>
        <w:spacing w:before="0" w:after="0" w:line="24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через раневые поверхности</w:t>
      </w:r>
    </w:p>
    <w:p>
      <w:pPr>
        <w:pStyle w:val="Style34"/>
        <w:keepNext w:val="0"/>
        <w:keepLines w:val="0"/>
        <w:widowControl w:val="0"/>
        <w:numPr>
          <w:ilvl w:val="0"/>
          <w:numId w:val="167"/>
        </w:numPr>
        <w:shd w:val="clear" w:color="auto" w:fill="auto"/>
        <w:tabs>
          <w:tab w:pos="1003" w:val="left"/>
        </w:tabs>
        <w:bidi w:val="0"/>
        <w:spacing w:before="0" w:after="0" w:line="24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 водой</w:t>
      </w:r>
    </w:p>
    <w:p>
      <w:pPr>
        <w:pStyle w:val="Style34"/>
        <w:keepNext w:val="0"/>
        <w:keepLines w:val="0"/>
        <w:widowControl w:val="0"/>
        <w:numPr>
          <w:ilvl w:val="0"/>
          <w:numId w:val="167"/>
        </w:numPr>
        <w:shd w:val="clear" w:color="auto" w:fill="auto"/>
        <w:tabs>
          <w:tab w:pos="998" w:val="left"/>
        </w:tabs>
        <w:bidi w:val="0"/>
        <w:spacing w:before="0" w:after="0" w:line="24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парентеральный</w:t>
      </w:r>
    </w:p>
    <w:p>
      <w:pPr>
        <w:pStyle w:val="Style34"/>
        <w:keepNext w:val="0"/>
        <w:keepLines w:val="0"/>
        <w:widowControl w:val="0"/>
        <w:numPr>
          <w:ilvl w:val="0"/>
          <w:numId w:val="167"/>
        </w:numPr>
        <w:shd w:val="clear" w:color="auto" w:fill="auto"/>
        <w:tabs>
          <w:tab w:pos="1003" w:val="left"/>
        </w:tabs>
        <w:bidi w:val="0"/>
        <w:spacing w:before="0" w:after="0" w:line="240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ингаляционное поступление</w:t>
      </w:r>
    </w:p>
    <w:p>
      <w:pPr>
        <w:pStyle w:val="Style34"/>
        <w:keepNext w:val="0"/>
        <w:keepLines w:val="0"/>
        <w:widowControl w:val="0"/>
        <w:numPr>
          <w:ilvl w:val="0"/>
          <w:numId w:val="167"/>
        </w:numPr>
        <w:shd w:val="clear" w:color="auto" w:fill="auto"/>
        <w:tabs>
          <w:tab w:pos="1010" w:val="left"/>
        </w:tabs>
        <w:bidi w:val="0"/>
        <w:spacing w:before="0" w:after="0" w:line="240" w:lineRule="auto"/>
        <w:ind w:left="0" w:right="0" w:firstLine="56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58" w:right="900" w:bottom="858" w:left="122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перкутанный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</w:p>
    <w:p>
      <w:pPr>
        <w:pStyle w:val="Style44"/>
        <w:keepNext/>
        <w:keepLines/>
        <w:widowControl w:val="0"/>
        <w:numPr>
          <w:ilvl w:val="0"/>
          <w:numId w:val="153"/>
        </w:numPr>
        <w:shd w:val="clear" w:color="auto" w:fill="auto"/>
        <w:tabs>
          <w:tab w:pos="459" w:val="left"/>
        </w:tabs>
        <w:bidi w:val="0"/>
        <w:spacing w:before="0" w:after="0" w:line="228" w:lineRule="auto"/>
        <w:ind w:left="0" w:right="0" w:firstLine="0"/>
        <w:jc w:val="both"/>
      </w:pPr>
      <w:bookmarkStart w:id="148" w:name="bookmark148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Период полураспада радионуклида (Т1/2) — это:</w:t>
      </w:r>
      <w:bookmarkEnd w:id="148"/>
    </w:p>
    <w:p>
      <w:pPr>
        <w:pStyle w:val="Style34"/>
        <w:keepNext w:val="0"/>
        <w:keepLines w:val="0"/>
        <w:widowControl w:val="0"/>
        <w:numPr>
          <w:ilvl w:val="0"/>
          <w:numId w:val="169"/>
        </w:numPr>
        <w:shd w:val="clear" w:color="auto" w:fill="auto"/>
        <w:tabs>
          <w:tab w:pos="984" w:val="left"/>
        </w:tabs>
        <w:bidi w:val="0"/>
        <w:spacing w:before="0" w:after="0" w:line="228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интервал времени, в течение которого распадается по</w:t>
        <w:softHyphen/>
        <w:t>ловина атомов радионуклида</w:t>
      </w:r>
    </w:p>
    <w:p>
      <w:pPr>
        <w:pStyle w:val="Style34"/>
        <w:keepNext w:val="0"/>
        <w:keepLines w:val="0"/>
        <w:widowControl w:val="0"/>
        <w:numPr>
          <w:ilvl w:val="0"/>
          <w:numId w:val="169"/>
        </w:numPr>
        <w:shd w:val="clear" w:color="auto" w:fill="auto"/>
        <w:tabs>
          <w:tab w:pos="998" w:val="left"/>
        </w:tabs>
        <w:bidi w:val="0"/>
        <w:spacing w:before="0" w:after="0" w:line="228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время, в течение которого масса вещества, содержаще</w:t>
        <w:softHyphen/>
        <w:t>го радиоактивные атомы, уменьшается вдвое</w:t>
      </w:r>
    </w:p>
    <w:p>
      <w:pPr>
        <w:pStyle w:val="Style34"/>
        <w:keepNext w:val="0"/>
        <w:keepLines w:val="0"/>
        <w:widowControl w:val="0"/>
        <w:numPr>
          <w:ilvl w:val="0"/>
          <w:numId w:val="169"/>
        </w:numPr>
        <w:shd w:val="clear" w:color="auto" w:fill="auto"/>
        <w:tabs>
          <w:tab w:pos="998" w:val="left"/>
        </w:tabs>
        <w:bidi w:val="0"/>
        <w:spacing w:before="0" w:after="0" w:line="228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время, за которое масса ядра радиоактивного атома уменьшается в два раза</w:t>
      </w:r>
    </w:p>
    <w:p>
      <w:pPr>
        <w:pStyle w:val="Style34"/>
        <w:keepNext w:val="0"/>
        <w:keepLines w:val="0"/>
        <w:widowControl w:val="0"/>
        <w:numPr>
          <w:ilvl w:val="0"/>
          <w:numId w:val="169"/>
        </w:numPr>
        <w:shd w:val="clear" w:color="auto" w:fill="auto"/>
        <w:tabs>
          <w:tab w:pos="1008" w:val="left"/>
        </w:tabs>
        <w:bidi w:val="0"/>
        <w:spacing w:before="0" w:after="0" w:line="228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время, в течение которого половина радиоизотопов вы</w:t>
        <w:softHyphen/>
        <w:t>водится из организма в результате биологических про</w:t>
        <w:softHyphen/>
        <w:t>цессов</w:t>
      </w:r>
    </w:p>
    <w:p>
      <w:pPr>
        <w:pStyle w:val="Style34"/>
        <w:keepNext w:val="0"/>
        <w:keepLines w:val="0"/>
        <w:widowControl w:val="0"/>
        <w:numPr>
          <w:ilvl w:val="0"/>
          <w:numId w:val="169"/>
        </w:numPr>
        <w:shd w:val="clear" w:color="auto" w:fill="auto"/>
        <w:tabs>
          <w:tab w:pos="998" w:val="left"/>
        </w:tabs>
        <w:bidi w:val="0"/>
        <w:spacing w:before="0" w:after="0" w:line="228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время, в течение которого действие радиоизотопа сни</w:t>
        <w:softHyphen/>
        <w:t>жается вдвое</w:t>
      </w:r>
    </w:p>
    <w:p>
      <w:pPr>
        <w:pStyle w:val="Style34"/>
        <w:keepNext w:val="0"/>
        <w:keepLines w:val="0"/>
        <w:widowControl w:val="0"/>
        <w:numPr>
          <w:ilvl w:val="0"/>
          <w:numId w:val="169"/>
        </w:numPr>
        <w:shd w:val="clear" w:color="auto" w:fill="auto"/>
        <w:tabs>
          <w:tab w:pos="1003" w:val="left"/>
        </w:tabs>
        <w:bidi w:val="0"/>
        <w:spacing w:before="0" w:after="120" w:line="228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показатель, учитывающий уменьшение содержания ра</w:t>
        <w:softHyphen/>
        <w:t>дионуклида в органе за счет совместного влияния и ра</w:t>
        <w:softHyphen/>
        <w:t>диоактивного распада и биологического выведения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Установите соответствие</w:t>
      </w:r>
    </w:p>
    <w:p>
      <w:pPr>
        <w:pStyle w:val="Style34"/>
        <w:keepNext w:val="0"/>
        <w:keepLines w:val="0"/>
        <w:widowControl w:val="0"/>
        <w:numPr>
          <w:ilvl w:val="0"/>
          <w:numId w:val="153"/>
        </w:numPr>
        <w:shd w:val="clear" w:color="auto" w:fill="auto"/>
        <w:tabs>
          <w:tab w:pos="454" w:val="left"/>
        </w:tabs>
        <w:bidi w:val="0"/>
        <w:spacing w:before="0" w:after="0" w:line="226" w:lineRule="auto"/>
        <w:ind w:left="360" w:right="0" w:hanging="360"/>
        <w:jc w:val="both"/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>Какие из перечисленных радиоактивных веществ способны к избирательному накоплению в щитовидной железе, а какие равномерно распределяются по органам и тканям</w:t>
      </w:r>
    </w:p>
    <w:p>
      <w:pPr>
        <w:pStyle w:val="Style34"/>
        <w:keepNext w:val="0"/>
        <w:keepLines w:val="0"/>
        <w:widowControl w:val="0"/>
        <w:shd w:val="clear" w:color="auto" w:fill="auto"/>
        <w:tabs>
          <w:tab w:pos="4738" w:val="left"/>
        </w:tabs>
        <w:bidi w:val="0"/>
        <w:spacing w:before="0" w:after="0" w:line="240" w:lineRule="auto"/>
        <w:ind w:left="280" w:right="0" w:hanging="28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А) равномерно распределяющиеся по органам 1) цезий и тканям</w:t>
        <w:tab/>
        <w:t>2) лантаноиды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Б) накапливающиеся в щитовидной железе 3) плутоний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474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4)тритий</w:t>
      </w:r>
    </w:p>
    <w:p>
      <w:pPr>
        <w:pStyle w:val="Style34"/>
        <w:keepNext w:val="0"/>
        <w:keepLines w:val="0"/>
        <w:widowControl w:val="0"/>
        <w:numPr>
          <w:ilvl w:val="0"/>
          <w:numId w:val="171"/>
        </w:numPr>
        <w:shd w:val="clear" w:color="auto" w:fill="auto"/>
        <w:tabs>
          <w:tab w:pos="5098" w:val="left"/>
        </w:tabs>
        <w:bidi w:val="0"/>
        <w:spacing w:before="0" w:after="0" w:line="230" w:lineRule="auto"/>
        <w:ind w:left="474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радий</w:t>
      </w:r>
    </w:p>
    <w:p>
      <w:pPr>
        <w:pStyle w:val="Style34"/>
        <w:keepNext w:val="0"/>
        <w:keepLines w:val="0"/>
        <w:widowControl w:val="0"/>
        <w:numPr>
          <w:ilvl w:val="0"/>
          <w:numId w:val="171"/>
        </w:numPr>
        <w:shd w:val="clear" w:color="auto" w:fill="auto"/>
        <w:tabs>
          <w:tab w:pos="5103" w:val="left"/>
        </w:tabs>
        <w:bidi w:val="0"/>
        <w:spacing w:before="0" w:after="0" w:line="230" w:lineRule="auto"/>
        <w:ind w:left="474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йод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474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7)торий</w:t>
      </w:r>
    </w:p>
    <w:p>
      <w:pPr>
        <w:pStyle w:val="Style34"/>
        <w:keepNext w:val="0"/>
        <w:keepLines w:val="0"/>
        <w:widowControl w:val="0"/>
        <w:numPr>
          <w:ilvl w:val="0"/>
          <w:numId w:val="173"/>
        </w:numPr>
        <w:shd w:val="clear" w:color="auto" w:fill="auto"/>
        <w:tabs>
          <w:tab w:pos="5103" w:val="left"/>
        </w:tabs>
        <w:bidi w:val="0"/>
        <w:spacing w:before="0" w:after="0" w:line="230" w:lineRule="auto"/>
        <w:ind w:left="474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радон</w:t>
      </w:r>
    </w:p>
    <w:p>
      <w:pPr>
        <w:pStyle w:val="Style34"/>
        <w:keepNext w:val="0"/>
        <w:keepLines w:val="0"/>
        <w:widowControl w:val="0"/>
        <w:numPr>
          <w:ilvl w:val="0"/>
          <w:numId w:val="173"/>
        </w:numPr>
        <w:shd w:val="clear" w:color="auto" w:fill="auto"/>
        <w:tabs>
          <w:tab w:pos="5108" w:val="left"/>
        </w:tabs>
        <w:bidi w:val="0"/>
        <w:spacing w:before="0" w:after="0" w:line="230" w:lineRule="auto"/>
        <w:ind w:left="474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калий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30" w:lineRule="auto"/>
        <w:ind w:left="0" w:right="360" w:firstLine="0"/>
        <w:jc w:val="righ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10)полоний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</w:p>
    <w:p>
      <w:pPr>
        <w:pStyle w:val="Style44"/>
        <w:keepNext/>
        <w:keepLines/>
        <w:widowControl w:val="0"/>
        <w:numPr>
          <w:ilvl w:val="0"/>
          <w:numId w:val="175"/>
        </w:numPr>
        <w:shd w:val="clear" w:color="auto" w:fill="auto"/>
        <w:tabs>
          <w:tab w:pos="459" w:val="left"/>
        </w:tabs>
        <w:bidi w:val="0"/>
        <w:spacing w:before="0" w:after="0" w:line="233" w:lineRule="auto"/>
        <w:ind w:left="360" w:right="0" w:hanging="360"/>
        <w:jc w:val="both"/>
      </w:pPr>
      <w:bookmarkStart w:id="150" w:name="bookmark150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предупреждения поражения радиоактивным йодом целесо</w:t>
        <w:softHyphen/>
        <w:t>образно применять:</w:t>
      </w:r>
      <w:bookmarkEnd w:id="150"/>
    </w:p>
    <w:p>
      <w:pPr>
        <w:pStyle w:val="Style34"/>
        <w:keepNext w:val="0"/>
        <w:keepLines w:val="0"/>
        <w:widowControl w:val="0"/>
        <w:numPr>
          <w:ilvl w:val="0"/>
          <w:numId w:val="177"/>
        </w:numPr>
        <w:shd w:val="clear" w:color="auto" w:fill="auto"/>
        <w:tabs>
          <w:tab w:pos="984" w:val="left"/>
        </w:tabs>
        <w:bidi w:val="0"/>
        <w:spacing w:before="0" w:after="0" w:line="233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адсобар</w:t>
      </w:r>
    </w:p>
    <w:p>
      <w:pPr>
        <w:pStyle w:val="Style34"/>
        <w:keepNext w:val="0"/>
        <w:keepLines w:val="0"/>
        <w:widowControl w:val="0"/>
        <w:numPr>
          <w:ilvl w:val="0"/>
          <w:numId w:val="177"/>
        </w:numPr>
        <w:shd w:val="clear" w:color="auto" w:fill="auto"/>
        <w:tabs>
          <w:tab w:pos="1003" w:val="left"/>
        </w:tabs>
        <w:bidi w:val="0"/>
        <w:spacing w:before="0" w:after="0" w:line="233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ферроцин</w:t>
      </w:r>
    </w:p>
    <w:p>
      <w:pPr>
        <w:pStyle w:val="Style34"/>
        <w:keepNext w:val="0"/>
        <w:keepLines w:val="0"/>
        <w:widowControl w:val="0"/>
        <w:numPr>
          <w:ilvl w:val="0"/>
          <w:numId w:val="177"/>
        </w:numPr>
        <w:shd w:val="clear" w:color="auto" w:fill="auto"/>
        <w:tabs>
          <w:tab w:pos="998" w:val="left"/>
        </w:tabs>
        <w:bidi w:val="0"/>
        <w:spacing w:before="0" w:after="0" w:line="233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калия йодид</w:t>
      </w:r>
    </w:p>
    <w:p>
      <w:pPr>
        <w:pStyle w:val="Style34"/>
        <w:keepNext w:val="0"/>
        <w:keepLines w:val="0"/>
        <w:widowControl w:val="0"/>
        <w:numPr>
          <w:ilvl w:val="0"/>
          <w:numId w:val="177"/>
        </w:numPr>
        <w:shd w:val="clear" w:color="auto" w:fill="auto"/>
        <w:tabs>
          <w:tab w:pos="1008" w:val="left"/>
        </w:tabs>
        <w:bidi w:val="0"/>
        <w:spacing w:before="0" w:after="0" w:line="233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настойку йода</w:t>
      </w:r>
    </w:p>
    <w:p>
      <w:pPr>
        <w:pStyle w:val="Style34"/>
        <w:keepNext w:val="0"/>
        <w:keepLines w:val="0"/>
        <w:widowControl w:val="0"/>
        <w:numPr>
          <w:ilvl w:val="0"/>
          <w:numId w:val="177"/>
        </w:numPr>
        <w:shd w:val="clear" w:color="auto" w:fill="auto"/>
        <w:tabs>
          <w:tab w:pos="998" w:val="left"/>
        </w:tabs>
        <w:bidi w:val="0"/>
        <w:spacing w:before="0" w:after="0" w:line="233" w:lineRule="auto"/>
        <w:ind w:left="0" w:right="0" w:firstLine="640"/>
        <w:jc w:val="both"/>
        <w:sectPr>
          <w:headerReference w:type="default" r:id="rId530"/>
          <w:footerReference w:type="default" r:id="rId531"/>
          <w:headerReference w:type="even" r:id="rId532"/>
          <w:footerReference w:type="even" r:id="rId533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01" w:right="392" w:bottom="820" w:left="1758" w:header="473" w:footer="3" w:gutter="0"/>
          <w:pgNumType w:start="207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полисурьмин</w:t>
      </w:r>
    </w:p>
    <w:p>
      <w:pPr>
        <w:pStyle w:val="Style34"/>
        <w:keepNext w:val="0"/>
        <w:keepLines w:val="0"/>
        <w:widowControl w:val="0"/>
        <w:numPr>
          <w:ilvl w:val="0"/>
          <w:numId w:val="177"/>
        </w:numPr>
        <w:shd w:val="clear" w:color="auto" w:fill="auto"/>
        <w:tabs>
          <w:tab w:pos="982" w:val="left"/>
        </w:tabs>
        <w:bidi w:val="0"/>
        <w:spacing w:before="0" w:after="0" w:line="233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калия перхлорат</w:t>
      </w:r>
    </w:p>
    <w:p>
      <w:pPr>
        <w:pStyle w:val="Style34"/>
        <w:keepNext w:val="0"/>
        <w:keepLines w:val="0"/>
        <w:widowControl w:val="0"/>
        <w:numPr>
          <w:ilvl w:val="0"/>
          <w:numId w:val="177"/>
        </w:numPr>
        <w:shd w:val="clear" w:color="auto" w:fill="auto"/>
        <w:tabs>
          <w:tab w:pos="978" w:val="left"/>
        </w:tabs>
        <w:bidi w:val="0"/>
        <w:spacing w:before="0" w:after="0" w:line="233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раствор Люголя</w:t>
      </w:r>
    </w:p>
    <w:p>
      <w:pPr>
        <w:pStyle w:val="Style34"/>
        <w:keepNext w:val="0"/>
        <w:keepLines w:val="0"/>
        <w:widowControl w:val="0"/>
        <w:numPr>
          <w:ilvl w:val="0"/>
          <w:numId w:val="177"/>
        </w:numPr>
        <w:shd w:val="clear" w:color="auto" w:fill="auto"/>
        <w:tabs>
          <w:tab w:pos="982" w:val="left"/>
        </w:tabs>
        <w:bidi w:val="0"/>
        <w:spacing w:before="0" w:after="0" w:line="233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трилон Б</w:t>
      </w:r>
    </w:p>
    <w:p>
      <w:pPr>
        <w:pStyle w:val="Style34"/>
        <w:keepNext w:val="0"/>
        <w:keepLines w:val="0"/>
        <w:widowControl w:val="0"/>
        <w:numPr>
          <w:ilvl w:val="0"/>
          <w:numId w:val="177"/>
        </w:numPr>
        <w:shd w:val="clear" w:color="auto" w:fill="auto"/>
        <w:tabs>
          <w:tab w:pos="982" w:val="left"/>
        </w:tabs>
        <w:bidi w:val="0"/>
        <w:spacing w:before="0" w:after="0" w:line="233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унитиол</w:t>
      </w:r>
    </w:p>
    <w:p>
      <w:pPr>
        <w:pStyle w:val="Style34"/>
        <w:keepNext w:val="0"/>
        <w:keepLines w:val="0"/>
        <w:widowControl w:val="0"/>
        <w:numPr>
          <w:ilvl w:val="0"/>
          <w:numId w:val="177"/>
        </w:numPr>
        <w:shd w:val="clear" w:color="auto" w:fill="auto"/>
        <w:tabs>
          <w:tab w:pos="969" w:val="left"/>
        </w:tabs>
        <w:bidi w:val="0"/>
        <w:spacing w:before="0" w:after="140" w:line="233" w:lineRule="auto"/>
        <w:ind w:left="0" w:right="0" w:firstLine="5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сульфат бария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</w:p>
    <w:p>
      <w:pPr>
        <w:pStyle w:val="Style44"/>
        <w:keepNext/>
        <w:keepLines/>
        <w:widowControl w:val="0"/>
        <w:numPr>
          <w:ilvl w:val="0"/>
          <w:numId w:val="175"/>
        </w:numPr>
        <w:shd w:val="clear" w:color="auto" w:fill="auto"/>
        <w:tabs>
          <w:tab w:pos="438" w:val="left"/>
        </w:tabs>
        <w:bidi w:val="0"/>
        <w:spacing w:before="0" w:after="0" w:line="233" w:lineRule="auto"/>
        <w:ind w:left="360" w:right="0" w:hanging="360"/>
        <w:jc w:val="both"/>
      </w:pPr>
      <w:bookmarkStart w:id="152" w:name="bookmark152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из нижеприведенных сведений верны в отношении препа</w:t>
        <w:softHyphen/>
        <w:t>рата пентацин:</w:t>
      </w:r>
      <w:bookmarkEnd w:id="152"/>
    </w:p>
    <w:p>
      <w:pPr>
        <w:pStyle w:val="Style34"/>
        <w:keepNext w:val="0"/>
        <w:keepLines w:val="0"/>
        <w:widowControl w:val="0"/>
        <w:numPr>
          <w:ilvl w:val="0"/>
          <w:numId w:val="179"/>
        </w:numPr>
        <w:shd w:val="clear" w:color="auto" w:fill="auto"/>
        <w:tabs>
          <w:tab w:pos="963" w:val="left"/>
        </w:tabs>
        <w:bidi w:val="0"/>
        <w:spacing w:before="0" w:after="0" w:line="233" w:lineRule="auto"/>
        <w:ind w:left="88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применяется для связывания и ускорения выведения из организма радиоактивного йода</w:t>
      </w:r>
    </w:p>
    <w:p>
      <w:pPr>
        <w:pStyle w:val="Style34"/>
        <w:keepNext w:val="0"/>
        <w:keepLines w:val="0"/>
        <w:widowControl w:val="0"/>
        <w:numPr>
          <w:ilvl w:val="0"/>
          <w:numId w:val="179"/>
        </w:numPr>
        <w:shd w:val="clear" w:color="auto" w:fill="auto"/>
        <w:tabs>
          <w:tab w:pos="978" w:val="left"/>
        </w:tabs>
        <w:bidi w:val="0"/>
        <w:spacing w:before="0" w:after="0" w:line="233" w:lineRule="auto"/>
        <w:ind w:left="88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используется для связывания и выведения из организ</w:t>
        <w:softHyphen/>
        <w:t>ма радиотоксинов, образующихся в результате внешне</w:t>
        <w:softHyphen/>
        <w:t>го у-облучения</w:t>
      </w:r>
    </w:p>
    <w:p>
      <w:pPr>
        <w:pStyle w:val="Style34"/>
        <w:keepNext w:val="0"/>
        <w:keepLines w:val="0"/>
        <w:widowControl w:val="0"/>
        <w:numPr>
          <w:ilvl w:val="0"/>
          <w:numId w:val="179"/>
        </w:numPr>
        <w:shd w:val="clear" w:color="auto" w:fill="auto"/>
        <w:tabs>
          <w:tab w:pos="982" w:val="left"/>
        </w:tabs>
        <w:bidi w:val="0"/>
        <w:spacing w:before="0" w:after="0" w:line="233" w:lineRule="auto"/>
        <w:ind w:left="88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связывания плутония, попавшего в организм, и вы</w:t>
        <w:softHyphen/>
        <w:t>ведения образовавшихся недиссоциирующих комплек</w:t>
        <w:softHyphen/>
        <w:t>сов с мочой</w:t>
      </w:r>
    </w:p>
    <w:p>
      <w:pPr>
        <w:pStyle w:val="Style34"/>
        <w:keepNext w:val="0"/>
        <w:keepLines w:val="0"/>
        <w:widowControl w:val="0"/>
        <w:numPr>
          <w:ilvl w:val="0"/>
          <w:numId w:val="179"/>
        </w:numPr>
        <w:shd w:val="clear" w:color="auto" w:fill="auto"/>
        <w:tabs>
          <w:tab w:pos="987" w:val="left"/>
        </w:tabs>
        <w:bidi w:val="0"/>
        <w:spacing w:before="0" w:after="0" w:line="233" w:lineRule="auto"/>
        <w:ind w:left="88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связывания бария и стронция при алиментарном поступлении</w:t>
      </w:r>
    </w:p>
    <w:p>
      <w:pPr>
        <w:pStyle w:val="Style34"/>
        <w:keepNext w:val="0"/>
        <w:keepLines w:val="0"/>
        <w:widowControl w:val="0"/>
        <w:numPr>
          <w:ilvl w:val="0"/>
          <w:numId w:val="179"/>
        </w:numPr>
        <w:shd w:val="clear" w:color="auto" w:fill="auto"/>
        <w:tabs>
          <w:tab w:pos="978" w:val="left"/>
        </w:tabs>
        <w:bidi w:val="0"/>
        <w:spacing w:before="0" w:after="0" w:line="233" w:lineRule="auto"/>
        <w:ind w:left="88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предупреждения развития поражения в результате облучения нейтронами</w:t>
      </w:r>
    </w:p>
    <w:p>
      <w:pPr>
        <w:pStyle w:val="Style34"/>
        <w:keepNext w:val="0"/>
        <w:keepLines w:val="0"/>
        <w:widowControl w:val="0"/>
        <w:numPr>
          <w:ilvl w:val="0"/>
          <w:numId w:val="179"/>
        </w:numPr>
        <w:shd w:val="clear" w:color="auto" w:fill="auto"/>
        <w:tabs>
          <w:tab w:pos="982" w:val="left"/>
        </w:tabs>
        <w:bidi w:val="0"/>
        <w:spacing w:before="0" w:after="0" w:line="233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препарат высокоокисленной целлюлозы</w:t>
      </w:r>
    </w:p>
    <w:p>
      <w:pPr>
        <w:pStyle w:val="Style34"/>
        <w:keepNext w:val="0"/>
        <w:keepLines w:val="0"/>
        <w:widowControl w:val="0"/>
        <w:numPr>
          <w:ilvl w:val="0"/>
          <w:numId w:val="179"/>
        </w:numPr>
        <w:shd w:val="clear" w:color="auto" w:fill="auto"/>
        <w:tabs>
          <w:tab w:pos="978" w:val="left"/>
        </w:tabs>
        <w:bidi w:val="0"/>
        <w:spacing w:before="0" w:after="0" w:line="233" w:lineRule="auto"/>
        <w:ind w:left="0" w:right="0" w:firstLine="6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соль этилендиаминтетрауксусной кислоты (ЭДТА)</w:t>
      </w:r>
    </w:p>
    <w:p>
      <w:pPr>
        <w:pStyle w:val="Style34"/>
        <w:keepNext w:val="0"/>
        <w:keepLines w:val="0"/>
        <w:widowControl w:val="0"/>
        <w:numPr>
          <w:ilvl w:val="0"/>
          <w:numId w:val="179"/>
        </w:numPr>
        <w:shd w:val="clear" w:color="auto" w:fill="auto"/>
        <w:tabs>
          <w:tab w:pos="978" w:val="left"/>
        </w:tabs>
        <w:bidi w:val="0"/>
        <w:spacing w:before="0" w:after="0" w:line="233" w:lineRule="auto"/>
        <w:ind w:left="88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тринатрийкальциевая соль диэтилентриаминпентаук- сусной кислоты (ДТПА)</w:t>
      </w:r>
    </w:p>
    <w:p>
      <w:pPr>
        <w:pStyle w:val="Style34"/>
        <w:keepNext w:val="0"/>
        <w:keepLines w:val="0"/>
        <w:widowControl w:val="0"/>
        <w:numPr>
          <w:ilvl w:val="0"/>
          <w:numId w:val="179"/>
        </w:numPr>
        <w:shd w:val="clear" w:color="auto" w:fill="auto"/>
        <w:tabs>
          <w:tab w:pos="982" w:val="left"/>
        </w:tabs>
        <w:bidi w:val="0"/>
        <w:spacing w:before="0" w:after="0" w:line="233" w:lineRule="auto"/>
        <w:ind w:left="880" w:right="0" w:hanging="2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эффективен только при пероральном применении с по</w:t>
        <w:softHyphen/>
        <w:t>следующим промыванием желудка</w:t>
      </w:r>
    </w:p>
    <w:p>
      <w:pPr>
        <w:pStyle w:val="Style34"/>
        <w:keepNext w:val="0"/>
        <w:keepLines w:val="0"/>
        <w:widowControl w:val="0"/>
        <w:numPr>
          <w:ilvl w:val="0"/>
          <w:numId w:val="179"/>
        </w:numPr>
        <w:shd w:val="clear" w:color="auto" w:fill="auto"/>
        <w:tabs>
          <w:tab w:pos="969" w:val="left"/>
        </w:tabs>
        <w:bidi w:val="0"/>
        <w:spacing w:before="0" w:after="0" w:line="233" w:lineRule="auto"/>
        <w:ind w:left="880" w:right="0" w:hanging="340"/>
        <w:jc w:val="both"/>
        <w:sectPr>
          <w:headerReference w:type="default" r:id="rId534"/>
          <w:footerReference w:type="default" r:id="rId535"/>
          <w:headerReference w:type="even" r:id="rId536"/>
          <w:footerReference w:type="even" r:id="rId537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17" w:right="879" w:bottom="917" w:left="1258" w:header="489" w:footer="3" w:gutter="0"/>
          <w:pgNumType w:start="207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эффективен при парентеральном и ингаляционном применении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lef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Установите соответствие</w:t>
      </w:r>
    </w:p>
    <w:p>
      <w:pPr>
        <w:pStyle w:val="Style44"/>
        <w:keepNext/>
        <w:keepLines/>
        <w:widowControl w:val="0"/>
        <w:numPr>
          <w:ilvl w:val="0"/>
          <w:numId w:val="175"/>
        </w:numPr>
        <w:shd w:val="clear" w:color="auto" w:fill="auto"/>
        <w:tabs>
          <w:tab w:pos="454" w:val="left"/>
        </w:tabs>
        <w:bidi w:val="0"/>
        <w:spacing w:before="0" w:after="0" w:line="228" w:lineRule="auto"/>
        <w:ind w:left="360" w:right="0" w:hanging="360"/>
        <w:jc w:val="left"/>
      </w:pPr>
      <w:bookmarkStart w:id="154" w:name="bookmark154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препараты, применяемые для снижения лучевой на</w:t>
        <w:softHyphen/>
        <w:t>грузки при инкорпорации нижеприведенных радионуклидов</w:t>
      </w:r>
      <w:bookmarkEnd w:id="154"/>
    </w:p>
    <w:tbl>
      <w:tblPr>
        <w:tblOverlap w:val="never"/>
        <w:jc w:val="left"/>
        <w:tblLayout w:type="fixed"/>
      </w:tblPr>
      <w:tblGrid>
        <w:gridCol w:w="3072"/>
        <w:gridCol w:w="2122"/>
      </w:tblGrid>
      <w:tr>
        <w:trPr>
          <w:trHeight w:val="312" w:hRule="exact"/>
        </w:trPr>
        <w:tc>
          <w:tcPr>
            <w:tcBorders/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</w:pPr>
            <w:r>
              <w:rPr>
                <w:spacing w:val="0"/>
                <w:w w:val="100"/>
                <w:position w:val="0"/>
                <w:shd w:val="clear" w:color="auto" w:fill="auto"/>
                <w:lang w:val="ru-RU" w:eastAsia="ru-RU" w:bidi="ru-RU"/>
              </w:rPr>
              <w:t>А) полоний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140"/>
              <w:jc w:val="left"/>
            </w:pPr>
            <w:r>
              <w:rPr>
                <w:spacing w:val="0"/>
                <w:w w:val="100"/>
                <w:position w:val="0"/>
                <w:shd w:val="clear" w:color="auto" w:fill="auto"/>
                <w:lang w:val="ru-RU" w:eastAsia="ru-RU" w:bidi="ru-RU"/>
              </w:rPr>
              <w:t>1) калия йодид</w:t>
            </w:r>
          </w:p>
        </w:tc>
      </w:tr>
      <w:tr>
        <w:trPr>
          <w:trHeight w:val="250" w:hRule="exact"/>
        </w:trPr>
        <w:tc>
          <w:tcPr>
            <w:tcBorders/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</w:pPr>
            <w:r>
              <w:rPr>
                <w:spacing w:val="0"/>
                <w:w w:val="100"/>
                <w:position w:val="0"/>
                <w:shd w:val="clear" w:color="auto" w:fill="auto"/>
                <w:lang w:val="ru-RU" w:eastAsia="ru-RU" w:bidi="ru-RU"/>
              </w:rPr>
              <w:t>Б) стронций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140"/>
              <w:jc w:val="left"/>
            </w:pPr>
            <w:r>
              <w:rPr>
                <w:spacing w:val="0"/>
                <w:w w:val="100"/>
                <w:position w:val="0"/>
                <w:shd w:val="clear" w:color="auto" w:fill="auto"/>
                <w:lang w:val="ru-RU" w:eastAsia="ru-RU" w:bidi="ru-RU"/>
              </w:rPr>
              <w:t>2) вокацит</w:t>
            </w:r>
          </w:p>
        </w:tc>
      </w:tr>
      <w:tr>
        <w:trPr>
          <w:trHeight w:val="2050" w:hRule="exact"/>
        </w:trPr>
        <w:tc>
          <w:tcPr>
            <w:tcBorders/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</w:pPr>
            <w:r>
              <w:rPr>
                <w:spacing w:val="0"/>
                <w:w w:val="100"/>
                <w:position w:val="0"/>
                <w:shd w:val="clear" w:color="auto" w:fill="auto"/>
                <w:lang w:val="ru-RU" w:eastAsia="ru-RU" w:bidi="ru-RU"/>
              </w:rPr>
              <w:t>В) йод</w:t>
            </w:r>
          </w:p>
        </w:tc>
        <w:tc>
          <w:tcPr>
            <w:tcBorders>
              <w:left w:val="single" w:sz="4"/>
            </w:tcBorders>
            <w:shd w:val="clear" w:color="auto" w:fill="auto"/>
            <w:vAlign w:val="bottom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140"/>
              <w:jc w:val="left"/>
            </w:pPr>
            <w:r>
              <w:rPr>
                <w:spacing w:val="0"/>
                <w:w w:val="100"/>
                <w:position w:val="0"/>
                <w:shd w:val="clear" w:color="auto" w:fill="auto"/>
                <w:lang w:val="ru-RU" w:eastAsia="ru-RU" w:bidi="ru-RU"/>
              </w:rPr>
              <w:t>3)трилон Б</w:t>
            </w:r>
          </w:p>
          <w:p>
            <w:pPr>
              <w:pStyle w:val="Style57"/>
              <w:keepNext w:val="0"/>
              <w:keepLines w:val="0"/>
              <w:widowControl w:val="0"/>
              <w:numPr>
                <w:ilvl w:val="0"/>
                <w:numId w:val="181"/>
              </w:numPr>
              <w:shd w:val="clear" w:color="auto" w:fill="auto"/>
              <w:tabs>
                <w:tab w:pos="399" w:val="left"/>
              </w:tabs>
              <w:bidi w:val="0"/>
              <w:spacing w:before="0" w:after="0" w:line="240" w:lineRule="auto"/>
              <w:ind w:left="0" w:right="0" w:firstLine="140"/>
              <w:jc w:val="left"/>
            </w:pPr>
            <w:r>
              <w:rPr>
                <w:spacing w:val="0"/>
                <w:w w:val="100"/>
                <w:position w:val="0"/>
                <w:shd w:val="clear" w:color="auto" w:fill="auto"/>
                <w:lang w:val="ru-RU" w:eastAsia="ru-RU" w:bidi="ru-RU"/>
              </w:rPr>
              <w:t>альгинат кальция</w:t>
            </w:r>
          </w:p>
          <w:p>
            <w:pPr>
              <w:pStyle w:val="Style57"/>
              <w:keepNext w:val="0"/>
              <w:keepLines w:val="0"/>
              <w:widowControl w:val="0"/>
              <w:numPr>
                <w:ilvl w:val="0"/>
                <w:numId w:val="181"/>
              </w:numPr>
              <w:shd w:val="clear" w:color="auto" w:fill="auto"/>
              <w:tabs>
                <w:tab w:pos="399" w:val="left"/>
              </w:tabs>
              <w:bidi w:val="0"/>
              <w:spacing w:before="0" w:after="0" w:line="240" w:lineRule="auto"/>
              <w:ind w:left="0" w:right="0" w:firstLine="140"/>
              <w:jc w:val="left"/>
            </w:pPr>
            <w:r>
              <w:rPr>
                <w:spacing w:val="0"/>
                <w:w w:val="100"/>
                <w:position w:val="0"/>
                <w:shd w:val="clear" w:color="auto" w:fill="auto"/>
                <w:lang w:val="ru-RU" w:eastAsia="ru-RU" w:bidi="ru-RU"/>
              </w:rPr>
              <w:t>пентацин</w:t>
            </w:r>
          </w:p>
          <w:p>
            <w:pPr>
              <w:pStyle w:val="Style57"/>
              <w:keepNext w:val="0"/>
              <w:keepLines w:val="0"/>
              <w:widowControl w:val="0"/>
              <w:numPr>
                <w:ilvl w:val="0"/>
                <w:numId w:val="181"/>
              </w:numPr>
              <w:shd w:val="clear" w:color="auto" w:fill="auto"/>
              <w:tabs>
                <w:tab w:pos="399" w:val="left"/>
              </w:tabs>
              <w:bidi w:val="0"/>
              <w:spacing w:before="0" w:after="0" w:line="240" w:lineRule="auto"/>
              <w:ind w:left="0" w:right="0" w:firstLine="140"/>
              <w:jc w:val="left"/>
            </w:pPr>
            <w:r>
              <w:rPr>
                <w:spacing w:val="0"/>
                <w:w w:val="100"/>
                <w:position w:val="0"/>
                <w:shd w:val="clear" w:color="auto" w:fill="auto"/>
                <w:lang w:val="ru-RU" w:eastAsia="ru-RU" w:bidi="ru-RU"/>
              </w:rPr>
              <w:t>адсобар</w:t>
            </w:r>
          </w:p>
          <w:p>
            <w:pPr>
              <w:pStyle w:val="Style57"/>
              <w:keepNext w:val="0"/>
              <w:keepLines w:val="0"/>
              <w:widowControl w:val="0"/>
              <w:numPr>
                <w:ilvl w:val="0"/>
                <w:numId w:val="181"/>
              </w:numPr>
              <w:shd w:val="clear" w:color="auto" w:fill="auto"/>
              <w:tabs>
                <w:tab w:pos="399" w:val="left"/>
              </w:tabs>
              <w:bidi w:val="0"/>
              <w:spacing w:before="0" w:after="0" w:line="240" w:lineRule="auto"/>
              <w:ind w:left="0" w:right="0" w:firstLine="140"/>
              <w:jc w:val="left"/>
            </w:pPr>
            <w:r>
              <w:rPr>
                <w:spacing w:val="0"/>
                <w:w w:val="100"/>
                <w:position w:val="0"/>
                <w:shd w:val="clear" w:color="auto" w:fill="auto"/>
                <w:lang w:val="ru-RU" w:eastAsia="ru-RU" w:bidi="ru-RU"/>
              </w:rPr>
              <w:t>ферроцин</w:t>
            </w:r>
          </w:p>
          <w:p>
            <w:pPr>
              <w:pStyle w:val="Style57"/>
              <w:keepNext w:val="0"/>
              <w:keepLines w:val="0"/>
              <w:widowControl w:val="0"/>
              <w:numPr>
                <w:ilvl w:val="0"/>
                <w:numId w:val="181"/>
              </w:numPr>
              <w:shd w:val="clear" w:color="auto" w:fill="auto"/>
              <w:tabs>
                <w:tab w:pos="399" w:val="left"/>
              </w:tabs>
              <w:bidi w:val="0"/>
              <w:spacing w:before="0" w:after="0" w:line="240" w:lineRule="auto"/>
              <w:ind w:left="0" w:right="0" w:firstLine="140"/>
              <w:jc w:val="left"/>
            </w:pPr>
            <w:r>
              <w:rPr>
                <w:spacing w:val="0"/>
                <w:w w:val="100"/>
                <w:position w:val="0"/>
                <w:shd w:val="clear" w:color="auto" w:fill="auto"/>
                <w:lang w:val="ru-RU" w:eastAsia="ru-RU" w:bidi="ru-RU"/>
              </w:rPr>
              <w:t>унитиол</w:t>
            </w:r>
          </w:p>
          <w:p>
            <w:pPr>
              <w:pStyle w:val="Style57"/>
              <w:keepNext w:val="0"/>
              <w:keepLines w:val="0"/>
              <w:widowControl w:val="0"/>
              <w:numPr>
                <w:ilvl w:val="0"/>
                <w:numId w:val="181"/>
              </w:numPr>
              <w:shd w:val="clear" w:color="auto" w:fill="auto"/>
              <w:tabs>
                <w:tab w:pos="399" w:val="left"/>
              </w:tabs>
              <w:bidi w:val="0"/>
              <w:spacing w:before="0" w:after="0" w:line="240" w:lineRule="auto"/>
              <w:ind w:left="0" w:right="0" w:firstLine="140"/>
              <w:jc w:val="left"/>
            </w:pPr>
            <w:r>
              <w:rPr>
                <w:spacing w:val="0"/>
                <w:w w:val="100"/>
                <w:position w:val="0"/>
                <w:shd w:val="clear" w:color="auto" w:fill="auto"/>
                <w:lang w:val="ru-RU" w:eastAsia="ru-RU" w:bidi="ru-RU"/>
              </w:rPr>
              <w:t>полисурьмин</w:t>
            </w:r>
          </w:p>
          <w:p>
            <w:pPr>
              <w:pStyle w:val="Style57"/>
              <w:keepNext w:val="0"/>
              <w:keepLines w:val="0"/>
              <w:widowControl w:val="0"/>
              <w:numPr>
                <w:ilvl w:val="0"/>
                <w:numId w:val="181"/>
              </w:numPr>
              <w:shd w:val="clear" w:color="auto" w:fill="auto"/>
              <w:tabs>
                <w:tab w:pos="259" w:val="left"/>
              </w:tabs>
              <w:bidi w:val="0"/>
              <w:spacing w:before="0" w:after="0" w:line="240" w:lineRule="auto"/>
              <w:ind w:left="0" w:right="0" w:firstLine="0"/>
              <w:jc w:val="left"/>
            </w:pPr>
            <w:r>
              <w:rPr>
                <w:spacing w:val="0"/>
                <w:w w:val="100"/>
                <w:position w:val="0"/>
                <w:shd w:val="clear" w:color="auto" w:fill="auto"/>
                <w:lang w:val="ru-RU" w:eastAsia="ru-RU" w:bidi="ru-RU"/>
              </w:rPr>
              <w:t>сульфат бария</w:t>
            </w:r>
          </w:p>
        </w:tc>
      </w:tr>
    </w:tbl>
    <w:p>
      <w:pPr>
        <w:widowControl w:val="0"/>
        <w:spacing w:after="79" w:line="1" w:lineRule="exact"/>
      </w:pP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lef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</w:p>
    <w:p>
      <w:pPr>
        <w:pStyle w:val="Style44"/>
        <w:keepNext/>
        <w:keepLines/>
        <w:widowControl w:val="0"/>
        <w:numPr>
          <w:ilvl w:val="0"/>
          <w:numId w:val="175"/>
        </w:numPr>
        <w:shd w:val="clear" w:color="auto" w:fill="auto"/>
        <w:tabs>
          <w:tab w:pos="459" w:val="left"/>
        </w:tabs>
        <w:bidi w:val="0"/>
        <w:spacing w:before="0" w:after="0" w:line="228" w:lineRule="auto"/>
        <w:ind w:left="360" w:right="0" w:hanging="360"/>
        <w:jc w:val="left"/>
      </w:pPr>
      <w:bookmarkStart w:id="156" w:name="bookmark156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Местные лучевые поражения кожи могут возникнуть в резуль</w:t>
        <w:softHyphen/>
        <w:t>тате:</w:t>
      </w:r>
      <w:bookmarkEnd w:id="156"/>
    </w:p>
    <w:p>
      <w:pPr>
        <w:pStyle w:val="Style34"/>
        <w:keepNext w:val="0"/>
        <w:keepLines w:val="0"/>
        <w:widowControl w:val="0"/>
        <w:numPr>
          <w:ilvl w:val="0"/>
          <w:numId w:val="183"/>
        </w:numPr>
        <w:shd w:val="clear" w:color="auto" w:fill="auto"/>
        <w:tabs>
          <w:tab w:pos="959" w:val="left"/>
        </w:tabs>
        <w:bidi w:val="0"/>
        <w:spacing w:before="0" w:after="0" w:line="228" w:lineRule="auto"/>
        <w:ind w:left="0" w:right="0" w:firstLine="62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внешнего у-облучения</w:t>
      </w:r>
    </w:p>
    <w:p>
      <w:pPr>
        <w:pStyle w:val="Style34"/>
        <w:keepNext w:val="0"/>
        <w:keepLines w:val="0"/>
        <w:widowControl w:val="0"/>
        <w:numPr>
          <w:ilvl w:val="0"/>
          <w:numId w:val="183"/>
        </w:numPr>
        <w:shd w:val="clear" w:color="auto" w:fill="auto"/>
        <w:tabs>
          <w:tab w:pos="983" w:val="left"/>
        </w:tabs>
        <w:bidi w:val="0"/>
        <w:spacing w:before="0" w:after="0" w:line="228" w:lineRule="auto"/>
        <w:ind w:left="0" w:right="0" w:firstLine="62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облучения нейтронами</w:t>
      </w:r>
    </w:p>
    <w:p>
      <w:pPr>
        <w:pStyle w:val="Style34"/>
        <w:keepNext w:val="0"/>
        <w:keepLines w:val="0"/>
        <w:widowControl w:val="0"/>
        <w:numPr>
          <w:ilvl w:val="0"/>
          <w:numId w:val="183"/>
        </w:numPr>
        <w:shd w:val="clear" w:color="auto" w:fill="auto"/>
        <w:tabs>
          <w:tab w:pos="978" w:val="left"/>
        </w:tabs>
        <w:bidi w:val="0"/>
        <w:spacing w:before="0" w:after="0" w:line="228" w:lineRule="auto"/>
        <w:ind w:left="0" w:right="0" w:firstLine="62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воздействия рентгеновскими лучами</w:t>
      </w:r>
    </w:p>
    <w:p>
      <w:pPr>
        <w:pStyle w:val="Style34"/>
        <w:keepNext w:val="0"/>
        <w:keepLines w:val="0"/>
        <w:widowControl w:val="0"/>
        <w:numPr>
          <w:ilvl w:val="0"/>
          <w:numId w:val="183"/>
        </w:numPr>
        <w:shd w:val="clear" w:color="auto" w:fill="auto"/>
        <w:tabs>
          <w:tab w:pos="983" w:val="left"/>
        </w:tabs>
        <w:bidi w:val="0"/>
        <w:spacing w:before="0" w:after="0" w:line="228" w:lineRule="auto"/>
        <w:ind w:left="0" w:right="0" w:firstLine="62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инкорпорации радионуклидов</w:t>
      </w:r>
    </w:p>
    <w:p>
      <w:pPr>
        <w:pStyle w:val="Style34"/>
        <w:keepNext w:val="0"/>
        <w:keepLines w:val="0"/>
        <w:widowControl w:val="0"/>
        <w:numPr>
          <w:ilvl w:val="0"/>
          <w:numId w:val="183"/>
        </w:numPr>
        <w:shd w:val="clear" w:color="auto" w:fill="auto"/>
        <w:tabs>
          <w:tab w:pos="998" w:val="left"/>
        </w:tabs>
        <w:bidi w:val="0"/>
        <w:spacing w:before="0" w:after="0" w:line="228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попадания на поверхность тела радиоактивных продук</w:t>
        <w:softHyphen/>
        <w:t>тов ядерного деления</w:t>
      </w:r>
    </w:p>
    <w:p>
      <w:pPr>
        <w:pStyle w:val="Style34"/>
        <w:keepNext w:val="0"/>
        <w:keepLines w:val="0"/>
        <w:widowControl w:val="0"/>
        <w:numPr>
          <w:ilvl w:val="0"/>
          <w:numId w:val="183"/>
        </w:numPr>
        <w:shd w:val="clear" w:color="auto" w:fill="auto"/>
        <w:tabs>
          <w:tab w:pos="983" w:val="left"/>
        </w:tabs>
        <w:bidi w:val="0"/>
        <w:spacing w:before="0" w:after="0" w:line="228" w:lineRule="auto"/>
        <w:ind w:left="0" w:right="0" w:firstLine="62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облучения в солярии ультрафиолетом</w:t>
      </w:r>
    </w:p>
    <w:p>
      <w:pPr>
        <w:pStyle w:val="Style34"/>
        <w:keepNext w:val="0"/>
        <w:keepLines w:val="0"/>
        <w:widowControl w:val="0"/>
        <w:numPr>
          <w:ilvl w:val="0"/>
          <w:numId w:val="183"/>
        </w:numPr>
        <w:shd w:val="clear" w:color="auto" w:fill="auto"/>
        <w:tabs>
          <w:tab w:pos="978" w:val="left"/>
        </w:tabs>
        <w:bidi w:val="0"/>
        <w:spacing w:before="0" w:after="0" w:line="228" w:lineRule="auto"/>
        <w:ind w:left="0" w:right="0" w:firstLine="62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облучения микроволнами</w:t>
      </w:r>
    </w:p>
    <w:p>
      <w:pPr>
        <w:pStyle w:val="Style34"/>
        <w:keepNext w:val="0"/>
        <w:keepLines w:val="0"/>
        <w:widowControl w:val="0"/>
        <w:numPr>
          <w:ilvl w:val="0"/>
          <w:numId w:val="183"/>
        </w:numPr>
        <w:shd w:val="clear" w:color="auto" w:fill="auto"/>
        <w:tabs>
          <w:tab w:pos="978" w:val="left"/>
        </w:tabs>
        <w:bidi w:val="0"/>
        <w:spacing w:before="0" w:after="0" w:line="228" w:lineRule="auto"/>
        <w:ind w:left="0" w:right="0" w:firstLine="62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термического воздействия</w:t>
      </w:r>
    </w:p>
    <w:p>
      <w:pPr>
        <w:pStyle w:val="Style34"/>
        <w:keepNext w:val="0"/>
        <w:keepLines w:val="0"/>
        <w:widowControl w:val="0"/>
        <w:numPr>
          <w:ilvl w:val="0"/>
          <w:numId w:val="183"/>
        </w:numPr>
        <w:shd w:val="clear" w:color="auto" w:fill="auto"/>
        <w:tabs>
          <w:tab w:pos="983" w:val="left"/>
        </w:tabs>
        <w:bidi w:val="0"/>
        <w:spacing w:before="0" w:after="0" w:line="228" w:lineRule="auto"/>
        <w:ind w:left="0" w:right="0" w:firstLine="62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попадания на кожу р-частиц</w:t>
      </w:r>
    </w:p>
    <w:p>
      <w:pPr>
        <w:pStyle w:val="Style34"/>
        <w:keepNext w:val="0"/>
        <w:keepLines w:val="0"/>
        <w:widowControl w:val="0"/>
        <w:numPr>
          <w:ilvl w:val="0"/>
          <w:numId w:val="183"/>
        </w:numPr>
        <w:shd w:val="clear" w:color="auto" w:fill="auto"/>
        <w:tabs>
          <w:tab w:pos="985" w:val="left"/>
        </w:tabs>
        <w:bidi w:val="0"/>
        <w:spacing w:before="0" w:after="140" w:line="228" w:lineRule="auto"/>
        <w:ind w:left="0" w:right="0" w:firstLine="54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попадания на слизистые оболочки а-частиц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left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</w:p>
    <w:p>
      <w:pPr>
        <w:pStyle w:val="Style44"/>
        <w:keepNext/>
        <w:keepLines/>
        <w:widowControl w:val="0"/>
        <w:numPr>
          <w:ilvl w:val="0"/>
          <w:numId w:val="175"/>
        </w:numPr>
        <w:shd w:val="clear" w:color="auto" w:fill="auto"/>
        <w:tabs>
          <w:tab w:pos="459" w:val="left"/>
        </w:tabs>
        <w:bidi w:val="0"/>
        <w:spacing w:before="0" w:after="0" w:line="228" w:lineRule="auto"/>
        <w:ind w:left="0" w:right="0" w:firstLine="0"/>
        <w:jc w:val="left"/>
      </w:pPr>
      <w:bookmarkStart w:id="158" w:name="bookmark158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Тяжесть лучевого ожога кожи тем больше, чем:</w:t>
      </w:r>
      <w:bookmarkEnd w:id="158"/>
    </w:p>
    <w:p>
      <w:pPr>
        <w:pStyle w:val="Style34"/>
        <w:keepNext w:val="0"/>
        <w:keepLines w:val="0"/>
        <w:widowControl w:val="0"/>
        <w:numPr>
          <w:ilvl w:val="0"/>
          <w:numId w:val="185"/>
        </w:numPr>
        <w:shd w:val="clear" w:color="auto" w:fill="auto"/>
        <w:tabs>
          <w:tab w:pos="964" w:val="left"/>
        </w:tabs>
        <w:bidi w:val="0"/>
        <w:spacing w:before="0" w:after="0" w:line="228" w:lineRule="auto"/>
        <w:ind w:left="0" w:right="0" w:firstLine="62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выше доза облучения, поглощенная в коже</w:t>
      </w:r>
    </w:p>
    <w:p>
      <w:pPr>
        <w:pStyle w:val="Style34"/>
        <w:keepNext w:val="0"/>
        <w:keepLines w:val="0"/>
        <w:widowControl w:val="0"/>
        <w:numPr>
          <w:ilvl w:val="0"/>
          <w:numId w:val="185"/>
        </w:numPr>
        <w:shd w:val="clear" w:color="auto" w:fill="auto"/>
        <w:tabs>
          <w:tab w:pos="983" w:val="left"/>
        </w:tabs>
        <w:bidi w:val="0"/>
        <w:spacing w:before="0" w:after="0" w:line="228" w:lineRule="auto"/>
        <w:ind w:left="0" w:right="0" w:firstLine="62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меньше проникающая способность излучения</w:t>
      </w:r>
    </w:p>
    <w:p>
      <w:pPr>
        <w:pStyle w:val="Style34"/>
        <w:keepNext w:val="0"/>
        <w:keepLines w:val="0"/>
        <w:widowControl w:val="0"/>
        <w:numPr>
          <w:ilvl w:val="0"/>
          <w:numId w:val="185"/>
        </w:numPr>
        <w:shd w:val="clear" w:color="auto" w:fill="auto"/>
        <w:tabs>
          <w:tab w:pos="978" w:val="left"/>
        </w:tabs>
        <w:bidi w:val="0"/>
        <w:spacing w:before="0" w:after="0" w:line="228" w:lineRule="auto"/>
        <w:ind w:left="0" w:right="0" w:firstLine="62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больше площадь пораженного участка</w:t>
      </w:r>
    </w:p>
    <w:p>
      <w:pPr>
        <w:pStyle w:val="Style34"/>
        <w:keepNext w:val="0"/>
        <w:keepLines w:val="0"/>
        <w:widowControl w:val="0"/>
        <w:numPr>
          <w:ilvl w:val="0"/>
          <w:numId w:val="185"/>
        </w:numPr>
        <w:shd w:val="clear" w:color="auto" w:fill="auto"/>
        <w:tabs>
          <w:tab w:pos="988" w:val="left"/>
        </w:tabs>
        <w:bidi w:val="0"/>
        <w:spacing w:before="0" w:after="0" w:line="228" w:lineRule="auto"/>
        <w:ind w:left="0" w:right="0" w:firstLine="62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выше мощность дозы</w:t>
      </w:r>
    </w:p>
    <w:p>
      <w:pPr>
        <w:pStyle w:val="Style34"/>
        <w:keepNext w:val="0"/>
        <w:keepLines w:val="0"/>
        <w:widowControl w:val="0"/>
        <w:numPr>
          <w:ilvl w:val="0"/>
          <w:numId w:val="185"/>
        </w:numPr>
        <w:shd w:val="clear" w:color="auto" w:fill="auto"/>
        <w:tabs>
          <w:tab w:pos="983" w:val="left"/>
        </w:tabs>
        <w:bidi w:val="0"/>
        <w:spacing w:before="0" w:after="1160" w:line="228" w:lineRule="auto"/>
        <w:ind w:left="0" w:right="0" w:firstLine="6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большее количество радионуклидов инкорпорировано</w:t>
      </w:r>
    </w:p>
    <w:p>
      <w:pPr>
        <w:pStyle w:val="Style8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9"/>
          <w:szCs w:val="19"/>
        </w:rPr>
        <w:sectPr>
          <w:headerReference w:type="default" r:id="rId538"/>
          <w:footerReference w:type="default" r:id="rId539"/>
          <w:headerReference w:type="even" r:id="rId540"/>
          <w:footerReference w:type="even" r:id="rId541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900" w:right="419" w:bottom="350" w:left="1742" w:header="472" w:footer="3" w:gutter="0"/>
          <w:pgNumType w:start="209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19"/>
          <w:szCs w:val="19"/>
          <w:shd w:val="clear" w:color="auto" w:fill="auto"/>
          <w:lang w:val="ru-RU" w:eastAsia="ru-RU" w:bidi="ru-RU"/>
        </w:rPr>
        <w:t>гов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ответы:</w:t>
      </w:r>
    </w:p>
    <w:p>
      <w:pPr>
        <w:pStyle w:val="Style44"/>
        <w:keepNext/>
        <w:keepLines/>
        <w:widowControl w:val="0"/>
        <w:numPr>
          <w:ilvl w:val="0"/>
          <w:numId w:val="175"/>
        </w:numPr>
        <w:shd w:val="clear" w:color="auto" w:fill="auto"/>
        <w:tabs>
          <w:tab w:pos="459" w:val="left"/>
        </w:tabs>
        <w:bidi w:val="0"/>
        <w:spacing w:before="0" w:after="0" w:line="240" w:lineRule="auto"/>
        <w:ind w:left="400" w:right="0" w:hanging="400"/>
        <w:jc w:val="both"/>
      </w:pPr>
      <w:bookmarkStart w:id="160" w:name="bookmark160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Пороговая доза для развития лучевого орофарингеального син</w:t>
        <w:softHyphen/>
        <w:t>дрома:</w:t>
      </w:r>
      <w:bookmarkEnd w:id="160"/>
    </w:p>
    <w:p>
      <w:pPr>
        <w:pStyle w:val="Style34"/>
        <w:keepNext w:val="0"/>
        <w:keepLines w:val="0"/>
        <w:widowControl w:val="0"/>
        <w:numPr>
          <w:ilvl w:val="0"/>
          <w:numId w:val="187"/>
        </w:numPr>
        <w:shd w:val="clear" w:color="auto" w:fill="auto"/>
        <w:tabs>
          <w:tab w:pos="1024" w:val="left"/>
        </w:tabs>
        <w:bidi w:val="0"/>
        <w:spacing w:before="0" w:after="0" w:line="240" w:lineRule="auto"/>
        <w:ind w:left="0" w:right="0" w:firstLine="68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не более 2—3 Гр</w:t>
      </w:r>
    </w:p>
    <w:p>
      <w:pPr>
        <w:pStyle w:val="Style34"/>
        <w:keepNext w:val="0"/>
        <w:keepLines w:val="0"/>
        <w:widowControl w:val="0"/>
        <w:numPr>
          <w:ilvl w:val="0"/>
          <w:numId w:val="187"/>
        </w:numPr>
        <w:shd w:val="clear" w:color="auto" w:fill="auto"/>
        <w:tabs>
          <w:tab w:pos="1038" w:val="left"/>
        </w:tabs>
        <w:bidi w:val="0"/>
        <w:spacing w:before="0" w:after="0" w:line="240" w:lineRule="auto"/>
        <w:ind w:left="0" w:right="0" w:firstLine="68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не менее 5—7 Гр</w:t>
      </w:r>
    </w:p>
    <w:p>
      <w:pPr>
        <w:pStyle w:val="Style34"/>
        <w:keepNext w:val="0"/>
        <w:keepLines w:val="0"/>
        <w:widowControl w:val="0"/>
        <w:numPr>
          <w:ilvl w:val="0"/>
          <w:numId w:val="187"/>
        </w:numPr>
        <w:shd w:val="clear" w:color="auto" w:fill="auto"/>
        <w:tabs>
          <w:tab w:pos="1038" w:val="left"/>
        </w:tabs>
        <w:bidi w:val="0"/>
        <w:spacing w:before="0" w:after="0" w:line="240" w:lineRule="auto"/>
        <w:ind w:left="0" w:right="0" w:firstLine="68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от 2 до 5 Гр</w:t>
      </w:r>
    </w:p>
    <w:p>
      <w:pPr>
        <w:pStyle w:val="Style34"/>
        <w:keepNext w:val="0"/>
        <w:keepLines w:val="0"/>
        <w:widowControl w:val="0"/>
        <w:numPr>
          <w:ilvl w:val="0"/>
          <w:numId w:val="187"/>
        </w:numPr>
        <w:shd w:val="clear" w:color="auto" w:fill="auto"/>
        <w:tabs>
          <w:tab w:pos="1048" w:val="left"/>
        </w:tabs>
        <w:bidi w:val="0"/>
        <w:spacing w:before="0" w:after="0" w:line="240" w:lineRule="auto"/>
        <w:ind w:left="0" w:right="0" w:firstLine="68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не более 1 Гр</w:t>
      </w:r>
    </w:p>
    <w:p>
      <w:pPr>
        <w:pStyle w:val="Style34"/>
        <w:keepNext w:val="0"/>
        <w:keepLines w:val="0"/>
        <w:widowControl w:val="0"/>
        <w:numPr>
          <w:ilvl w:val="0"/>
          <w:numId w:val="187"/>
        </w:numPr>
        <w:shd w:val="clear" w:color="auto" w:fill="auto"/>
        <w:tabs>
          <w:tab w:pos="1038" w:val="left"/>
        </w:tabs>
        <w:bidi w:val="0"/>
        <w:spacing w:before="0" w:after="140" w:line="240" w:lineRule="auto"/>
        <w:ind w:left="0" w:right="0" w:firstLine="68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более 10 Гр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</w:p>
    <w:p>
      <w:pPr>
        <w:pStyle w:val="Style44"/>
        <w:keepNext/>
        <w:keepLines/>
        <w:widowControl w:val="0"/>
        <w:numPr>
          <w:ilvl w:val="0"/>
          <w:numId w:val="175"/>
        </w:numPr>
        <w:shd w:val="clear" w:color="auto" w:fill="auto"/>
        <w:tabs>
          <w:tab w:pos="459" w:val="left"/>
        </w:tabs>
        <w:bidi w:val="0"/>
        <w:spacing w:before="0" w:after="0" w:line="233" w:lineRule="auto"/>
        <w:ind w:left="0" w:right="0" w:firstLine="0"/>
        <w:jc w:val="both"/>
      </w:pPr>
      <w:bookmarkStart w:id="162" w:name="bookmark162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лечения местных лучевых поражений применяют:</w:t>
      </w:r>
      <w:bookmarkEnd w:id="162"/>
    </w:p>
    <w:p>
      <w:pPr>
        <w:pStyle w:val="Style34"/>
        <w:keepNext w:val="0"/>
        <w:keepLines w:val="0"/>
        <w:widowControl w:val="0"/>
        <w:numPr>
          <w:ilvl w:val="0"/>
          <w:numId w:val="189"/>
        </w:numPr>
        <w:shd w:val="clear" w:color="auto" w:fill="auto"/>
        <w:tabs>
          <w:tab w:pos="1024" w:val="left"/>
        </w:tabs>
        <w:bidi w:val="0"/>
        <w:spacing w:before="0" w:after="0" w:line="230" w:lineRule="auto"/>
        <w:ind w:left="0" w:right="0" w:firstLine="68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средства для лечения первичной реакции на облучение</w:t>
      </w:r>
    </w:p>
    <w:p>
      <w:pPr>
        <w:pStyle w:val="Style34"/>
        <w:keepNext w:val="0"/>
        <w:keepLines w:val="0"/>
        <w:widowControl w:val="0"/>
        <w:numPr>
          <w:ilvl w:val="0"/>
          <w:numId w:val="189"/>
        </w:numPr>
        <w:shd w:val="clear" w:color="auto" w:fill="auto"/>
        <w:tabs>
          <w:tab w:pos="1058" w:val="left"/>
        </w:tabs>
        <w:bidi w:val="0"/>
        <w:spacing w:before="0" w:after="0" w:line="230" w:lineRule="auto"/>
        <w:ind w:left="92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антисептические средства (растворы калия перманга</w:t>
        <w:softHyphen/>
        <w:t>ната, грамицидина, фурацилина)</w:t>
      </w:r>
    </w:p>
    <w:p>
      <w:pPr>
        <w:pStyle w:val="Style34"/>
        <w:keepNext w:val="0"/>
        <w:keepLines w:val="0"/>
        <w:widowControl w:val="0"/>
        <w:numPr>
          <w:ilvl w:val="0"/>
          <w:numId w:val="189"/>
        </w:numPr>
        <w:shd w:val="clear" w:color="auto" w:fill="auto"/>
        <w:tabs>
          <w:tab w:pos="1058" w:val="left"/>
        </w:tabs>
        <w:bidi w:val="0"/>
        <w:spacing w:before="0" w:after="0" w:line="230" w:lineRule="auto"/>
        <w:ind w:left="92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средства для лечения синдрома ранней преходящей не</w:t>
        <w:softHyphen/>
        <w:t>дееспособности</w:t>
      </w:r>
    </w:p>
    <w:p>
      <w:pPr>
        <w:pStyle w:val="Style34"/>
        <w:keepNext w:val="0"/>
        <w:keepLines w:val="0"/>
        <w:widowControl w:val="0"/>
        <w:numPr>
          <w:ilvl w:val="0"/>
          <w:numId w:val="189"/>
        </w:numPr>
        <w:shd w:val="clear" w:color="auto" w:fill="auto"/>
        <w:tabs>
          <w:tab w:pos="1048" w:val="left"/>
        </w:tabs>
        <w:bidi w:val="0"/>
        <w:spacing w:before="0" w:after="0" w:line="230" w:lineRule="auto"/>
        <w:ind w:left="0" w:right="0" w:firstLine="68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радиопротекторы (перорально и местно)</w:t>
      </w:r>
    </w:p>
    <w:p>
      <w:pPr>
        <w:pStyle w:val="Style34"/>
        <w:keepNext w:val="0"/>
        <w:keepLines w:val="0"/>
        <w:widowControl w:val="0"/>
        <w:numPr>
          <w:ilvl w:val="0"/>
          <w:numId w:val="189"/>
        </w:numPr>
        <w:shd w:val="clear" w:color="auto" w:fill="auto"/>
        <w:tabs>
          <w:tab w:pos="1038" w:val="left"/>
        </w:tabs>
        <w:bidi w:val="0"/>
        <w:spacing w:before="0" w:after="0" w:line="230" w:lineRule="auto"/>
        <w:ind w:left="0" w:right="0" w:firstLine="68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энтеросорбенты</w:t>
      </w:r>
    </w:p>
    <w:p>
      <w:pPr>
        <w:pStyle w:val="Style34"/>
        <w:keepNext w:val="0"/>
        <w:keepLines w:val="0"/>
        <w:widowControl w:val="0"/>
        <w:numPr>
          <w:ilvl w:val="0"/>
          <w:numId w:val="189"/>
        </w:numPr>
        <w:shd w:val="clear" w:color="auto" w:fill="auto"/>
        <w:tabs>
          <w:tab w:pos="1043" w:val="left"/>
        </w:tabs>
        <w:bidi w:val="0"/>
        <w:spacing w:before="0" w:after="0" w:line="230" w:lineRule="auto"/>
        <w:ind w:left="0" w:right="0" w:firstLine="68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местные анестетики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68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7)антибиотики</w:t>
      </w:r>
    </w:p>
    <w:p>
      <w:pPr>
        <w:pStyle w:val="Style34"/>
        <w:keepNext w:val="0"/>
        <w:keepLines w:val="0"/>
        <w:widowControl w:val="0"/>
        <w:numPr>
          <w:ilvl w:val="0"/>
          <w:numId w:val="191"/>
        </w:numPr>
        <w:shd w:val="clear" w:color="auto" w:fill="auto"/>
        <w:tabs>
          <w:tab w:pos="1038" w:val="left"/>
        </w:tabs>
        <w:bidi w:val="0"/>
        <w:spacing w:before="0" w:after="0" w:line="230" w:lineRule="auto"/>
        <w:ind w:left="0" w:right="0" w:firstLine="68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средства, стимулирующие регенеративные процессы</w:t>
      </w:r>
    </w:p>
    <w:p>
      <w:pPr>
        <w:pStyle w:val="Style34"/>
        <w:keepNext w:val="0"/>
        <w:keepLines w:val="0"/>
        <w:widowControl w:val="0"/>
        <w:numPr>
          <w:ilvl w:val="0"/>
          <w:numId w:val="191"/>
        </w:numPr>
        <w:shd w:val="clear" w:color="auto" w:fill="auto"/>
        <w:tabs>
          <w:tab w:pos="1038" w:val="left"/>
        </w:tabs>
        <w:bidi w:val="0"/>
        <w:spacing w:before="0" w:after="0" w:line="230" w:lineRule="auto"/>
        <w:ind w:left="0" w:right="0" w:firstLine="68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средства, предотвращающие всасывание радионуклидов</w:t>
      </w:r>
    </w:p>
    <w:p>
      <w:pPr>
        <w:pStyle w:val="Style34"/>
        <w:keepNext w:val="0"/>
        <w:keepLines w:val="0"/>
        <w:widowControl w:val="0"/>
        <w:numPr>
          <w:ilvl w:val="0"/>
          <w:numId w:val="191"/>
        </w:numPr>
        <w:shd w:val="clear" w:color="auto" w:fill="auto"/>
        <w:tabs>
          <w:tab w:pos="1054" w:val="left"/>
        </w:tabs>
        <w:bidi w:val="0"/>
        <w:spacing w:before="0" w:after="140" w:line="230" w:lineRule="auto"/>
        <w:ind w:left="0" w:right="0" w:firstLine="6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дезинтоксикационные плазмозамещающие растворы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3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</w:p>
    <w:p>
      <w:pPr>
        <w:pStyle w:val="Style44"/>
        <w:keepNext/>
        <w:keepLines/>
        <w:widowControl w:val="0"/>
        <w:numPr>
          <w:ilvl w:val="0"/>
          <w:numId w:val="175"/>
        </w:numPr>
        <w:shd w:val="clear" w:color="auto" w:fill="auto"/>
        <w:tabs>
          <w:tab w:pos="459" w:val="left"/>
        </w:tabs>
        <w:bidi w:val="0"/>
        <w:spacing w:before="0" w:after="0" w:line="233" w:lineRule="auto"/>
        <w:ind w:left="400" w:right="0" w:hanging="400"/>
        <w:jc w:val="both"/>
      </w:pPr>
      <w:bookmarkStart w:id="164" w:name="bookmark164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Из предлагаемых вариантов к группе сочетанных радиационных поражений относятся:</w:t>
      </w:r>
      <w:bookmarkEnd w:id="164"/>
    </w:p>
    <w:p>
      <w:pPr>
        <w:pStyle w:val="Style34"/>
        <w:keepNext w:val="0"/>
        <w:keepLines w:val="0"/>
        <w:widowControl w:val="0"/>
        <w:numPr>
          <w:ilvl w:val="0"/>
          <w:numId w:val="193"/>
        </w:numPr>
        <w:shd w:val="clear" w:color="auto" w:fill="auto"/>
        <w:tabs>
          <w:tab w:pos="1039" w:val="left"/>
        </w:tabs>
        <w:bidi w:val="0"/>
        <w:spacing w:before="0" w:after="0" w:line="233" w:lineRule="auto"/>
        <w:ind w:left="92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огнестрельное ранение у человека, подвергшегося воз</w:t>
        <w:softHyphen/>
        <w:t>действию высокой дозы радиации</w:t>
      </w:r>
    </w:p>
    <w:p>
      <w:pPr>
        <w:pStyle w:val="Style34"/>
        <w:keepNext w:val="0"/>
        <w:keepLines w:val="0"/>
        <w:widowControl w:val="0"/>
        <w:numPr>
          <w:ilvl w:val="0"/>
          <w:numId w:val="193"/>
        </w:numPr>
        <w:shd w:val="clear" w:color="auto" w:fill="auto"/>
        <w:tabs>
          <w:tab w:pos="1058" w:val="left"/>
        </w:tabs>
        <w:bidi w:val="0"/>
        <w:spacing w:before="0" w:after="0" w:line="233" w:lineRule="auto"/>
        <w:ind w:left="92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поражение в результате одновременного воздействия светового излучения и проникающей радиации ядерно</w:t>
        <w:softHyphen/>
        <w:t>го взрыва</w:t>
      </w:r>
    </w:p>
    <w:p>
      <w:pPr>
        <w:pStyle w:val="Style34"/>
        <w:keepNext w:val="0"/>
        <w:keepLines w:val="0"/>
        <w:widowControl w:val="0"/>
        <w:numPr>
          <w:ilvl w:val="0"/>
          <w:numId w:val="193"/>
        </w:numPr>
        <w:shd w:val="clear" w:color="auto" w:fill="auto"/>
        <w:tabs>
          <w:tab w:pos="1058" w:val="left"/>
        </w:tabs>
        <w:bidi w:val="0"/>
        <w:spacing w:before="0" w:after="0" w:line="233" w:lineRule="auto"/>
        <w:ind w:left="92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поражение в результате воздействия внешнего у-излу- чения,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p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-излучения и вдыхания радиоактивных аэрозо</w:t>
        <w:softHyphen/>
        <w:t>лей при аварии ядерного реактора</w:t>
      </w:r>
    </w:p>
    <w:p>
      <w:pPr>
        <w:pStyle w:val="Style34"/>
        <w:keepNext w:val="0"/>
        <w:keepLines w:val="0"/>
        <w:widowControl w:val="0"/>
        <w:numPr>
          <w:ilvl w:val="0"/>
          <w:numId w:val="193"/>
        </w:numPr>
        <w:shd w:val="clear" w:color="auto" w:fill="auto"/>
        <w:tabs>
          <w:tab w:pos="1068" w:val="left"/>
        </w:tabs>
        <w:bidi w:val="0"/>
        <w:spacing w:before="0" w:after="0" w:line="233" w:lineRule="auto"/>
        <w:ind w:left="92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поражения от внешнего у-облучения и загрязнения кожи продуктами ядерного деления</w:t>
      </w:r>
    </w:p>
    <w:p>
      <w:pPr>
        <w:pStyle w:val="Style34"/>
        <w:keepNext w:val="0"/>
        <w:keepLines w:val="0"/>
        <w:widowControl w:val="0"/>
        <w:numPr>
          <w:ilvl w:val="0"/>
          <w:numId w:val="193"/>
        </w:numPr>
        <w:shd w:val="clear" w:color="auto" w:fill="auto"/>
        <w:tabs>
          <w:tab w:pos="1058" w:val="left"/>
        </w:tabs>
        <w:bidi w:val="0"/>
        <w:spacing w:before="0" w:after="0" w:line="233" w:lineRule="auto"/>
        <w:ind w:left="920" w:right="0" w:hanging="220"/>
        <w:jc w:val="both"/>
        <w:sectPr>
          <w:headerReference w:type="default" r:id="rId542"/>
          <w:footerReference w:type="default" r:id="rId543"/>
          <w:headerReference w:type="even" r:id="rId544"/>
          <w:footerReference w:type="even" r:id="rId545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19" w:right="821" w:bottom="819" w:left="1248" w:header="391" w:footer="3" w:gutter="0"/>
          <w:pgNumType w:start="209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поражения в результате внешнего облучения и воздей</w:t>
        <w:softHyphen/>
        <w:t>ствия оксида углерода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</w:p>
    <w:p>
      <w:pPr>
        <w:pStyle w:val="Style44"/>
        <w:keepNext/>
        <w:keepLines/>
        <w:widowControl w:val="0"/>
        <w:numPr>
          <w:ilvl w:val="0"/>
          <w:numId w:val="175"/>
        </w:numPr>
        <w:shd w:val="clear" w:color="auto" w:fill="auto"/>
        <w:tabs>
          <w:tab w:pos="399" w:val="left"/>
        </w:tabs>
        <w:bidi w:val="0"/>
        <w:spacing w:before="0" w:after="0" w:line="223" w:lineRule="auto"/>
        <w:ind w:left="360" w:right="0" w:hanging="360"/>
        <w:jc w:val="both"/>
      </w:pPr>
      <w:bookmarkStart w:id="166" w:name="bookmark166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Из предлагаемых вариантов к группе комбинированных радиа</w:t>
        <w:softHyphen/>
        <w:t>ционных поражений относятся:</w:t>
      </w:r>
      <w:bookmarkEnd w:id="166"/>
    </w:p>
    <w:p>
      <w:pPr>
        <w:pStyle w:val="Style34"/>
        <w:keepNext w:val="0"/>
        <w:keepLines w:val="0"/>
        <w:widowControl w:val="0"/>
        <w:numPr>
          <w:ilvl w:val="0"/>
          <w:numId w:val="195"/>
        </w:numPr>
        <w:shd w:val="clear" w:color="auto" w:fill="auto"/>
        <w:tabs>
          <w:tab w:pos="924" w:val="left"/>
        </w:tabs>
        <w:bidi w:val="0"/>
        <w:spacing w:before="0" w:after="0" w:line="228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огнестрельное ранение у человека, подвергшегося воз</w:t>
        <w:softHyphen/>
        <w:t>действию высокой дозы радиации</w:t>
      </w:r>
    </w:p>
    <w:p>
      <w:pPr>
        <w:pStyle w:val="Style34"/>
        <w:keepNext w:val="0"/>
        <w:keepLines w:val="0"/>
        <w:widowControl w:val="0"/>
        <w:numPr>
          <w:ilvl w:val="0"/>
          <w:numId w:val="195"/>
        </w:numPr>
        <w:shd w:val="clear" w:color="auto" w:fill="auto"/>
        <w:tabs>
          <w:tab w:pos="943" w:val="left"/>
        </w:tabs>
        <w:bidi w:val="0"/>
        <w:spacing w:before="0" w:after="0" w:line="228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поражение в результате одновременного воздействия светового излучения и проникающей радиации ядерно- го взрыва</w:t>
      </w:r>
    </w:p>
    <w:p>
      <w:pPr>
        <w:pStyle w:val="Style34"/>
        <w:keepNext w:val="0"/>
        <w:keepLines w:val="0"/>
        <w:widowControl w:val="0"/>
        <w:numPr>
          <w:ilvl w:val="0"/>
          <w:numId w:val="195"/>
        </w:numPr>
        <w:shd w:val="clear" w:color="auto" w:fill="auto"/>
        <w:tabs>
          <w:tab w:pos="938" w:val="left"/>
        </w:tabs>
        <w:bidi w:val="0"/>
        <w:spacing w:before="0" w:after="0" w:line="230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поражение в результате воздействия внешнего у-излу- чения,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p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-излучения и вдыхания радиоактивных аэрозо</w:t>
        <w:softHyphen/>
        <w:t>лей при аварии ядерного реактора</w:t>
      </w:r>
    </w:p>
    <w:p>
      <w:pPr>
        <w:pStyle w:val="Style34"/>
        <w:keepNext w:val="0"/>
        <w:keepLines w:val="0"/>
        <w:widowControl w:val="0"/>
        <w:numPr>
          <w:ilvl w:val="0"/>
          <w:numId w:val="195"/>
        </w:numPr>
        <w:shd w:val="clear" w:color="auto" w:fill="auto"/>
        <w:tabs>
          <w:tab w:pos="948" w:val="left"/>
        </w:tabs>
        <w:bidi w:val="0"/>
        <w:spacing w:before="0" w:after="0" w:line="226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поражения от внешнего у-облучения и загрязнения кожи продуктами ядерного деления</w:t>
      </w:r>
    </w:p>
    <w:p>
      <w:pPr>
        <w:pStyle w:val="Style34"/>
        <w:keepNext w:val="0"/>
        <w:keepLines w:val="0"/>
        <w:widowControl w:val="0"/>
        <w:numPr>
          <w:ilvl w:val="0"/>
          <w:numId w:val="195"/>
        </w:numPr>
        <w:shd w:val="clear" w:color="auto" w:fill="auto"/>
        <w:tabs>
          <w:tab w:pos="938" w:val="left"/>
        </w:tabs>
        <w:bidi w:val="0"/>
        <w:spacing w:before="0" w:after="0" w:line="226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поражения в результате внешнего облучения и воздей</w:t>
        <w:softHyphen/>
        <w:t>ствия оксида углерода</w:t>
      </w:r>
    </w:p>
    <w:p>
      <w:pPr>
        <w:pStyle w:val="Style34"/>
        <w:keepNext w:val="0"/>
        <w:keepLines w:val="0"/>
        <w:widowControl w:val="0"/>
        <w:numPr>
          <w:ilvl w:val="0"/>
          <w:numId w:val="195"/>
        </w:numPr>
        <w:shd w:val="clear" w:color="auto" w:fill="auto"/>
        <w:tabs>
          <w:tab w:pos="948" w:val="left"/>
        </w:tabs>
        <w:bidi w:val="0"/>
        <w:spacing w:before="0" w:after="140" w:line="226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огнестрельное ранение человека, выздоровевшего от перенесенной лучевой болезни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</w:p>
    <w:p>
      <w:pPr>
        <w:pStyle w:val="Style44"/>
        <w:keepNext/>
        <w:keepLines/>
        <w:widowControl w:val="0"/>
        <w:numPr>
          <w:ilvl w:val="0"/>
          <w:numId w:val="175"/>
        </w:numPr>
        <w:shd w:val="clear" w:color="auto" w:fill="auto"/>
        <w:tabs>
          <w:tab w:pos="404" w:val="left"/>
        </w:tabs>
        <w:bidi w:val="0"/>
        <w:spacing w:before="0" w:after="0" w:line="228" w:lineRule="auto"/>
        <w:ind w:left="360" w:right="0" w:hanging="360"/>
        <w:jc w:val="both"/>
      </w:pPr>
      <w:bookmarkStart w:id="168" w:name="bookmark168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Среди причин развития синдрома взаимного отягощения при комбинированных радиационных поражениях имеют значение:</w:t>
      </w:r>
      <w:bookmarkEnd w:id="168"/>
    </w:p>
    <w:p>
      <w:pPr>
        <w:pStyle w:val="Style34"/>
        <w:keepNext w:val="0"/>
        <w:keepLines w:val="0"/>
        <w:widowControl w:val="0"/>
        <w:numPr>
          <w:ilvl w:val="0"/>
          <w:numId w:val="197"/>
        </w:numPr>
        <w:shd w:val="clear" w:color="auto" w:fill="auto"/>
        <w:tabs>
          <w:tab w:pos="924" w:val="left"/>
        </w:tabs>
        <w:bidi w:val="0"/>
        <w:spacing w:before="0" w:after="0" w:line="226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подавление в результате облучения систем, обеспечива</w:t>
        <w:softHyphen/>
        <w:t>ющих развитие адаптационных процессов при ожоге и травме</w:t>
      </w:r>
    </w:p>
    <w:p>
      <w:pPr>
        <w:pStyle w:val="Style34"/>
        <w:keepNext w:val="0"/>
        <w:keepLines w:val="0"/>
        <w:widowControl w:val="0"/>
        <w:numPr>
          <w:ilvl w:val="0"/>
          <w:numId w:val="197"/>
        </w:numPr>
        <w:shd w:val="clear" w:color="auto" w:fill="auto"/>
        <w:tabs>
          <w:tab w:pos="943" w:val="left"/>
        </w:tabs>
        <w:bidi w:val="0"/>
        <w:spacing w:before="0" w:after="0" w:line="223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возникновение нелетальных повреждений генома в об</w:t>
        <w:softHyphen/>
        <w:t>лученных клетках</w:t>
      </w:r>
    </w:p>
    <w:p>
      <w:pPr>
        <w:pStyle w:val="Style34"/>
        <w:keepNext w:val="0"/>
        <w:keepLines w:val="0"/>
        <w:widowControl w:val="0"/>
        <w:numPr>
          <w:ilvl w:val="0"/>
          <w:numId w:val="197"/>
        </w:numPr>
        <w:shd w:val="clear" w:color="auto" w:fill="auto"/>
        <w:tabs>
          <w:tab w:pos="943" w:val="left"/>
        </w:tabs>
        <w:bidi w:val="0"/>
        <w:spacing w:before="0" w:after="0" w:line="226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дополнительное инфицирование при наличии травм и ожогов создают дополнительную нагрузку на иммун</w:t>
        <w:softHyphen/>
        <w:t>ную систему и затрудняют ее восстановление после об</w:t>
        <w:softHyphen/>
        <w:t>лучения</w:t>
      </w:r>
    </w:p>
    <w:p>
      <w:pPr>
        <w:pStyle w:val="Style34"/>
        <w:keepNext w:val="0"/>
        <w:keepLines w:val="0"/>
        <w:widowControl w:val="0"/>
        <w:numPr>
          <w:ilvl w:val="0"/>
          <w:numId w:val="197"/>
        </w:numPr>
        <w:shd w:val="clear" w:color="auto" w:fill="auto"/>
        <w:tabs>
          <w:tab w:pos="948" w:val="left"/>
        </w:tabs>
        <w:bidi w:val="0"/>
        <w:spacing w:before="0" w:after="0" w:line="228" w:lineRule="auto"/>
        <w:ind w:left="86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интоксикация продуктами распада тканей при ожогах и ранах увеличивают значимость токсемического факто</w:t>
        <w:softHyphen/>
        <w:t>ра в развитии лучевого компонента поражения</w:t>
      </w:r>
    </w:p>
    <w:p>
      <w:pPr>
        <w:pStyle w:val="Style34"/>
        <w:keepNext w:val="0"/>
        <w:keepLines w:val="0"/>
        <w:widowControl w:val="0"/>
        <w:numPr>
          <w:ilvl w:val="0"/>
          <w:numId w:val="197"/>
        </w:numPr>
        <w:shd w:val="clear" w:color="auto" w:fill="auto"/>
        <w:tabs>
          <w:tab w:pos="943" w:val="left"/>
        </w:tabs>
        <w:bidi w:val="0"/>
        <w:spacing w:before="0" w:after="0" w:line="228" w:lineRule="auto"/>
        <w:ind w:left="860" w:right="0" w:hanging="220"/>
        <w:jc w:val="both"/>
        <w:sectPr>
          <w:headerReference w:type="default" r:id="rId546"/>
          <w:footerReference w:type="default" r:id="rId547"/>
          <w:headerReference w:type="even" r:id="rId548"/>
          <w:footerReference w:type="even" r:id="rId549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74" w:right="662" w:bottom="874" w:left="1450" w:header="446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радиационное подавление иммунитета ограничивает способность организма противостоять инфекции, дей</w:t>
        <w:softHyphen/>
        <w:t>ствию токсичных продуктов гистогенного и бактери</w:t>
        <w:softHyphen/>
        <w:t>ального происхождения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Выберите правильные ответы</w:t>
      </w:r>
    </w:p>
    <w:p>
      <w:pPr>
        <w:pStyle w:val="Style44"/>
        <w:keepNext/>
        <w:keepLines/>
        <w:widowControl w:val="0"/>
        <w:numPr>
          <w:ilvl w:val="0"/>
          <w:numId w:val="175"/>
        </w:numPr>
        <w:shd w:val="clear" w:color="auto" w:fill="auto"/>
        <w:tabs>
          <w:tab w:pos="399" w:val="left"/>
        </w:tabs>
        <w:bidi w:val="0"/>
        <w:spacing w:before="0" w:after="0" w:line="233" w:lineRule="auto"/>
        <w:ind w:left="400" w:right="0" w:hanging="400"/>
        <w:jc w:val="both"/>
      </w:pPr>
      <w:bookmarkStart w:id="170" w:name="bookmark170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из приведенных ниже утверждений справедливы в отно</w:t>
        <w:softHyphen/>
        <w:t>шении синдрома взаимного отягощения:</w:t>
      </w:r>
      <w:bookmarkEnd w:id="170"/>
    </w:p>
    <w:p>
      <w:pPr>
        <w:pStyle w:val="Style34"/>
        <w:keepNext w:val="0"/>
        <w:keepLines w:val="0"/>
        <w:widowControl w:val="0"/>
        <w:numPr>
          <w:ilvl w:val="0"/>
          <w:numId w:val="199"/>
        </w:numPr>
        <w:shd w:val="clear" w:color="auto" w:fill="auto"/>
        <w:tabs>
          <w:tab w:pos="984" w:val="left"/>
        </w:tabs>
        <w:bidi w:val="0"/>
        <w:spacing w:before="0" w:after="0" w:line="230" w:lineRule="auto"/>
        <w:ind w:left="92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синдром проявляется при одновременном поражаю</w:t>
        <w:softHyphen/>
        <w:t>щем действии факторов лучевой и нелучевой природы</w:t>
      </w:r>
    </w:p>
    <w:p>
      <w:pPr>
        <w:pStyle w:val="Style34"/>
        <w:keepNext w:val="0"/>
        <w:keepLines w:val="0"/>
        <w:widowControl w:val="0"/>
        <w:numPr>
          <w:ilvl w:val="0"/>
          <w:numId w:val="199"/>
        </w:numPr>
        <w:shd w:val="clear" w:color="auto" w:fill="auto"/>
        <w:tabs>
          <w:tab w:pos="998" w:val="left"/>
        </w:tabs>
        <w:bidi w:val="0"/>
        <w:spacing w:before="0" w:after="0" w:line="230" w:lineRule="auto"/>
        <w:ind w:left="92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синдром наиболее характерен для легкой степени тяже</w:t>
        <w:softHyphen/>
        <w:t>сти составляющих его компонентов</w:t>
      </w:r>
    </w:p>
    <w:p>
      <w:pPr>
        <w:pStyle w:val="Style34"/>
        <w:keepNext w:val="0"/>
        <w:keepLines w:val="0"/>
        <w:widowControl w:val="0"/>
        <w:numPr>
          <w:ilvl w:val="0"/>
          <w:numId w:val="199"/>
        </w:numPr>
        <w:shd w:val="clear" w:color="auto" w:fill="auto"/>
        <w:tabs>
          <w:tab w:pos="998" w:val="left"/>
        </w:tabs>
        <w:bidi w:val="0"/>
        <w:spacing w:before="0" w:after="0" w:line="230" w:lineRule="auto"/>
        <w:ind w:left="92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нанесении легкой механической травмы незадолго до лучевого воздействия тяжесть поражения может даже снижаться</w:t>
      </w:r>
    </w:p>
    <w:p>
      <w:pPr>
        <w:pStyle w:val="Style34"/>
        <w:keepNext w:val="0"/>
        <w:keepLines w:val="0"/>
        <w:widowControl w:val="0"/>
        <w:numPr>
          <w:ilvl w:val="0"/>
          <w:numId w:val="199"/>
        </w:numPr>
        <w:shd w:val="clear" w:color="auto" w:fill="auto"/>
        <w:tabs>
          <w:tab w:pos="1008" w:val="left"/>
        </w:tabs>
        <w:bidi w:val="0"/>
        <w:spacing w:before="0" w:after="0" w:line="230" w:lineRule="auto"/>
        <w:ind w:left="920" w:right="0" w:hanging="2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синдром не развивается при нанесении травмы или ожога в периоде разгара лучевой болезни</w:t>
      </w:r>
    </w:p>
    <w:p>
      <w:pPr>
        <w:pStyle w:val="Style34"/>
        <w:keepNext w:val="0"/>
        <w:keepLines w:val="0"/>
        <w:widowControl w:val="0"/>
        <w:numPr>
          <w:ilvl w:val="0"/>
          <w:numId w:val="199"/>
        </w:numPr>
        <w:shd w:val="clear" w:color="auto" w:fill="auto"/>
        <w:tabs>
          <w:tab w:pos="1003" w:val="left"/>
        </w:tabs>
        <w:bidi w:val="0"/>
        <w:spacing w:before="0" w:after="0" w:line="230" w:lineRule="auto"/>
        <w:ind w:left="920" w:right="0" w:hanging="220"/>
        <w:jc w:val="both"/>
        <w:sectPr>
          <w:headerReference w:type="default" r:id="rId550"/>
          <w:footerReference w:type="default" r:id="rId551"/>
          <w:headerReference w:type="even" r:id="rId552"/>
          <w:footerReference w:type="even" r:id="rId553"/>
          <w:footnotePr>
            <w:pos w:val="pageBottom"/>
            <w:numFmt w:val="chicago"/>
            <w:numRestart w:val="continuous"/>
            <w15:footnoteColumns w:val="1"/>
          </w:footnotePr>
          <w:pgSz w:w="7200" w:h="12288"/>
          <w:pgMar w:top="1066" w:right="408" w:bottom="1066" w:left="480" w:header="638" w:footer="638" w:gutter="0"/>
          <w:pgNumType w:start="21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нанесение механической травмы в периоде восстанов</w:t>
        <w:softHyphen/>
        <w:t>ления от лучевого поражения не приводит к развитию синдрома</w:t>
      </w:r>
    </w:p>
    <w:tbl>
      <w:tblPr>
        <w:tblOverlap w:val="never"/>
        <w:jc w:val="center"/>
        <w:tblLayout w:type="fixed"/>
      </w:tblPr>
      <w:tblGrid>
        <w:gridCol w:w="984"/>
        <w:gridCol w:w="2131"/>
        <w:gridCol w:w="960"/>
        <w:gridCol w:w="2174"/>
      </w:tblGrid>
      <w:tr>
        <w:trPr>
          <w:trHeight w:val="691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Номер тестового задания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Правильные ответы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Номер тестового задания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Правильные ответы</w:t>
            </w:r>
          </w:p>
        </w:tc>
      </w:tr>
      <w:tr>
        <w:trPr>
          <w:trHeight w:val="317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1, 2, 3, 6, 9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19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3, 4,</w:t>
            </w:r>
          </w:p>
        </w:tc>
      </w:tr>
      <w:tr>
        <w:trPr>
          <w:trHeight w:val="312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 — Б; 2 — А; 3 — Г; 4 — В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1,3, 4,5</w:t>
            </w:r>
          </w:p>
        </w:tc>
      </w:tr>
      <w:tr>
        <w:trPr>
          <w:trHeight w:val="312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440"/>
              <w:jc w:val="both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4, 5, 6, 10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21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1,4, 5, 6, 8,9</w:t>
            </w:r>
          </w:p>
        </w:tc>
      </w:tr>
      <w:tr>
        <w:trPr>
          <w:trHeight w:val="317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4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2—6—1—4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22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4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50 Гр, церебральной</w:t>
            </w:r>
          </w:p>
        </w:tc>
      </w:tr>
      <w:tr>
        <w:trPr>
          <w:trHeight w:val="312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5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Радиоактивностью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23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1,2, 3, 5, 6, 7,9</w:t>
            </w:r>
          </w:p>
        </w:tc>
      </w:tr>
      <w:tr>
        <w:trPr>
          <w:trHeight w:val="312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color w:val="282828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6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2, 3, 5, 6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24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</w:t>
            </w:r>
          </w:p>
        </w:tc>
      </w:tr>
      <w:tr>
        <w:trPr>
          <w:trHeight w:val="317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7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25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40"/>
              <w:jc w:val="left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А—1,7, 9,10, Б —6</w:t>
            </w:r>
          </w:p>
        </w:tc>
      </w:tr>
      <w:tr>
        <w:trPr>
          <w:trHeight w:val="312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8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 — В, 2 — А, 3 — Г, 4 — Б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26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3, 4, 6, 7</w:t>
            </w:r>
          </w:p>
        </w:tc>
      </w:tr>
      <w:tr>
        <w:trPr>
          <w:trHeight w:val="317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9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1,4,8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27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</w:t>
            </w:r>
          </w:p>
        </w:tc>
      </w:tr>
      <w:tr>
        <w:trPr>
          <w:trHeight w:val="504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1,2, 5, 6,9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28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6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А —8, Б —2, 4, 6, 9,10, В —1</w:t>
            </w:r>
          </w:p>
        </w:tc>
      </w:tr>
      <w:tr>
        <w:trPr>
          <w:trHeight w:val="317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11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2, 4, 6, 7, 8,10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29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1,2, 3, 5, 9, 10</w:t>
            </w:r>
          </w:p>
        </w:tc>
      </w:tr>
      <w:tr>
        <w:trPr>
          <w:trHeight w:val="312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12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1,4, 7, 10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1,3,4</w:t>
            </w:r>
          </w:p>
        </w:tc>
      </w:tr>
      <w:tr>
        <w:trPr>
          <w:trHeight w:val="509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13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62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Стохастические и детерминированные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31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</w:t>
            </w:r>
          </w:p>
        </w:tc>
      </w:tr>
      <w:tr>
        <w:trPr>
          <w:trHeight w:val="312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14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32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2, 4, 6, 7, 8, 10</w:t>
            </w:r>
          </w:p>
        </w:tc>
      </w:tr>
      <w:tr>
        <w:trPr>
          <w:trHeight w:val="509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15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307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А —3, Б —4, В —2, Г —5, Д-1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33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3,4</w:t>
            </w:r>
          </w:p>
        </w:tc>
      </w:tr>
      <w:tr>
        <w:trPr>
          <w:trHeight w:val="312" w:hRule="exact"/>
        </w:trPr>
        <w:tc>
          <w:tcPr>
            <w:tcBorders>
              <w:top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16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1,2, 4,6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34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center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1,2,5</w:t>
            </w:r>
          </w:p>
        </w:tc>
      </w:tr>
      <w:tr>
        <w:trPr>
          <w:trHeight w:val="317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17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1,2, 3, 4, 7,10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35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1,3, 4,5</w:t>
            </w:r>
          </w:p>
        </w:tc>
      </w:tr>
      <w:tr>
        <w:trPr>
          <w:trHeight w:val="346" w:hRule="exact"/>
        </w:trPr>
        <w:tc>
          <w:tcPr>
            <w:tcBorders>
              <w:top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18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1, 3, 9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36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auto"/>
            <w:vAlign w:val="top"/>
          </w:tcPr>
          <w:p>
            <w:pPr>
              <w:pStyle w:val="Style5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5"/>
                <w:szCs w:val="15"/>
              </w:rPr>
            </w:pPr>
            <w:r>
              <w:rPr>
                <w:rFonts w:ascii="Arial" w:eastAsia="Arial" w:hAnsi="Arial" w:cs="Arial"/>
                <w:spacing w:val="0"/>
                <w:w w:val="100"/>
                <w:position w:val="0"/>
                <w:sz w:val="15"/>
                <w:szCs w:val="15"/>
                <w:shd w:val="clear" w:color="auto" w:fill="auto"/>
                <w:lang w:val="ru-RU" w:eastAsia="ru-RU" w:bidi="ru-RU"/>
              </w:rPr>
              <w:t>1,3, 5</w:t>
            </w:r>
          </w:p>
        </w:tc>
      </w:tr>
    </w:tbl>
    <w:p>
      <w:pPr>
        <w:sectPr>
          <w:headerReference w:type="default" r:id="rId554"/>
          <w:footerReference w:type="default" r:id="rId555"/>
          <w:headerReference w:type="even" r:id="rId556"/>
          <w:footerReference w:type="even" r:id="rId557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2772" w:right="741" w:bottom="1812" w:left="1409" w:header="0" w:footer="1384" w:gutter="0"/>
          <w:cols w:space="720"/>
          <w:noEndnote/>
          <w:rtlGutter w:val="0"/>
          <w:docGrid w:linePitch="360"/>
        </w:sectPr>
      </w:pPr>
    </w:p>
    <w:p>
      <w:pPr>
        <w:pStyle w:val="Style8"/>
        <w:keepNext w:val="0"/>
        <w:keepLines w:val="0"/>
        <w:widowControl w:val="0"/>
        <w:shd w:val="clear" w:color="auto" w:fill="auto"/>
        <w:bidi w:val="0"/>
        <w:spacing w:before="0" w:after="460" w:line="252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СИТУАЦИОННЫЕ ЗАДАЧИ</w:t>
      </w:r>
    </w:p>
    <w:p>
      <w:pPr>
        <w:pStyle w:val="Style44"/>
        <w:keepNext/>
        <w:keepLines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bookmarkStart w:id="172" w:name="bookmark172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Задача № 1</w:t>
      </w:r>
      <w:bookmarkEnd w:id="172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Экспозиционная доза рентгеновского излучения в воздухе составляет 1 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Чему будет равна величина поглощенной дозы облучения в тканях организма, находящегося в непосредственной близости от источника радиационного воздействия?</w:t>
      </w:r>
    </w:p>
    <w:p>
      <w:pPr>
        <w:pStyle w:val="Style44"/>
        <w:keepNext/>
        <w:keepLines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bookmarkStart w:id="174" w:name="bookmark174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Задача № 2</w:t>
      </w:r>
      <w:bookmarkEnd w:id="174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 атомной подводной лодке К-421 в бухте Чажма в резуль</w:t>
        <w:softHyphen/>
        <w:t>тате нарушения техники безопасности произошла радиационная авария, сопровождающаяся взрывом. В результате аварии сфор</w:t>
        <w:softHyphen/>
        <w:t>мировался очаг радиоактивного загрязнения с мощностью экс</w:t>
        <w:softHyphen/>
        <w:t>позиционной дозы более 220 мР/ч.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Рассчитайте, какое время в зоне аварии могли находиться моряки, чтобы у них не сформировалась острая лучевая болезнь от внешнего облучения.</w:t>
      </w:r>
    </w:p>
    <w:p>
      <w:pPr>
        <w:pStyle w:val="Style44"/>
        <w:keepNext/>
        <w:keepLines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bookmarkStart w:id="176" w:name="bookmark176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Задача № 3</w:t>
      </w:r>
      <w:bookmarkEnd w:id="176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какой величине экспозиционной дозы общее относите</w:t>
        <w:softHyphen/>
        <w:t>льно равномерное у-нейтронное облучение в течение 1 ч может привести к возникновению острой лучевой болезни?</w:t>
      </w:r>
    </w:p>
    <w:p>
      <w:pPr>
        <w:pStyle w:val="Style44"/>
        <w:keepNext/>
        <w:keepLines/>
        <w:widowControl w:val="0"/>
        <w:shd w:val="clear" w:color="auto" w:fill="auto"/>
        <w:bidi w:val="0"/>
        <w:spacing w:before="0" w:after="0" w:line="230" w:lineRule="auto"/>
        <w:ind w:left="0" w:right="0" w:firstLine="0"/>
        <w:jc w:val="both"/>
      </w:pPr>
      <w:bookmarkStart w:id="178" w:name="bookmark178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Задача № 4</w:t>
      </w:r>
      <w:bookmarkEnd w:id="178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00" w:line="228" w:lineRule="auto"/>
        <w:ind w:left="0" w:right="0"/>
        <w:jc w:val="both"/>
        <w:sectPr>
          <w:headerReference w:type="default" r:id="rId558"/>
          <w:footerReference w:type="default" r:id="rId559"/>
          <w:headerReference w:type="even" r:id="rId560"/>
          <w:footerReference w:type="even" r:id="rId561"/>
          <w:footnotePr>
            <w:pos w:val="pageBottom"/>
            <w:numFmt w:val="chicago"/>
            <w:numRestart w:val="continuous"/>
            <w15:footnoteColumns w:val="1"/>
          </w:footnotePr>
          <w:pgSz w:w="7181" w:h="12274"/>
          <w:pgMar w:top="2371" w:right="312" w:bottom="966" w:left="595" w:header="0" w:footer="3" w:gutter="0"/>
          <w:pgNumType w:start="213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результате аварии на крупном ядерном объекте произошло разрушение ядерного реактора. В окружающую среду попало ядерное топливо и продукты ядерного деления, накопившиеся во время работы реактора. Суммарная активность веществ, вы</w:t>
        <w:softHyphen/>
        <w:t>брошенных в окружающую среду, составила, по различным оценкам, до 14 х Ю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18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Бк (14 ЭБк), в том числе: 1,8 ЭБк йода-131; 0,085 ЭБк цезия-137; 0,01 ЭБк стронция-90 и 0,003 ЭБк изотопов плутония; на долю благородных газов приходилось около полови</w:t>
        <w:softHyphen/>
        <w:t>ны от суммарной активности. Эквивалентная доза облучения в месте взрыва составила от 100 до 500 мЗв, в зоне сильного загряз-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нения в среднем оценивалась в 30—40 мЗв. Дозы, накопленные за годы после аварии, оцениваются в 10—50 мЗв для большинства жителей загрязненной зоны.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Определите, чему будет равна поглощенная доза облучения в зонах с различной степенью загрязнения, и оцените возможные последствия для здоровья населения в этих зонах.</w:t>
      </w:r>
    </w:p>
    <w:p>
      <w:pPr>
        <w:pStyle w:val="Style44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bookmarkStart w:id="180" w:name="bookmark180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Задача № 5</w:t>
      </w:r>
      <w:bookmarkEnd w:id="180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 АЭС «Три-Майл Айленд» (Пенсильвания, США) в резуль</w:t>
        <w:softHyphen/>
        <w:t>тате поломки насоса внешнего контура охлаждения атомного ре</w:t>
        <w:softHyphen/>
        <w:t>актора произошла авария. Часть радиоактивной воды вылилась во внутренние помещения станции, вследствие чего приборы радиационного контроля зафиксировали повышение уровня ра</w:t>
        <w:softHyphen/>
        <w:t>диации не только в реакторном отсеке, но и на пульте управле</w:t>
        <w:softHyphen/>
        <w:t>ния станции. Кроме того, произошел выброс благородных газов в атмосферу, и их радиоактивность составила от 2,5 до 13 млн Ки (480 х ю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15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Бк). Средняя эквивалентная доза радиации для лю</w:t>
        <w:softHyphen/>
        <w:t>дей, живущих в 10-мильной (16 км) зоне, составила 8 мбэр (80 мкЗв) в сутки и не превысила 100 мбэр (1 мЗв) для любого из жителей за все время аварии.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Определите, какую дозу получат люди, проживающие в 10-мильной зоне, за первые 2 суток после аварии, и оцените возможные последствия для здоровья населения в этой зоне.</w:t>
      </w:r>
    </w:p>
    <w:p>
      <w:pPr>
        <w:pStyle w:val="Style44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bookmarkStart w:id="182" w:name="bookmark182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Задача № 6</w:t>
      </w:r>
      <w:bookmarkEnd w:id="182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 ядерном объекте произошла авария, в которую оказались вовлеченными три сотрудника. Экспозиционная доза в зоне за</w:t>
        <w:softHyphen/>
        <w:t>ражения составляла 100 Р/ч.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Определите поглощенную дозу, полученную этими людьми за 3 ч работы в зараженном помещении, и форму лучевой пато</w:t>
        <w:softHyphen/>
        <w:t>логии, которая может у них развиться. Предложите лекарствен</w:t>
        <w:softHyphen/>
        <w:t>ные средства для оказания неотложной медицинской помощи пострадавшим.</w:t>
      </w:r>
    </w:p>
    <w:p>
      <w:pPr>
        <w:pStyle w:val="Style44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bookmarkStart w:id="184" w:name="bookmark184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Задача № 7</w:t>
      </w:r>
      <w:bookmarkEnd w:id="184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74" w:right="539" w:bottom="872" w:left="160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После аварии на предприятии по переработке отработанного ядерного топлива в Великобритании произошел выброс изотопа йода-131 в концентрации, в 300 раз превышающей допустимую норму. Загрязнению подверглась вся прилегающая к предприя</w:t>
        <w:softHyphen/>
        <w:t>тию территория, в том числе и места проживания людей.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28" w:lineRule="auto"/>
        <w:ind w:left="60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последствия для населения данного региона может иметь данная авария? Какие лекарственные средства можно применить для профилактики этих последствий?</w:t>
      </w:r>
    </w:p>
    <w:p>
      <w:pPr>
        <w:pStyle w:val="Style44"/>
        <w:keepNext/>
        <w:keepLines/>
        <w:widowControl w:val="0"/>
        <w:shd w:val="clear" w:color="auto" w:fill="auto"/>
        <w:bidi w:val="0"/>
        <w:spacing w:before="0" w:after="0" w:line="228" w:lineRule="auto"/>
        <w:ind w:left="0" w:right="0" w:firstLine="600"/>
        <w:jc w:val="both"/>
      </w:pPr>
      <w:bookmarkStart w:id="186" w:name="bookmark186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Задача № 8</w:t>
      </w:r>
      <w:bookmarkEnd w:id="186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60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результате аварии на предприятии «Маяк» в Челябинской области произошло загрязнение территории площадью более 20 тыс. км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с численностью населения около 270 тыс. человек стронцием-90.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28" w:lineRule="auto"/>
        <w:ind w:left="60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Опишите возможные последствия поступления в организм радиоактивного стронция и предложите лекарственные средст</w:t>
        <w:softHyphen/>
        <w:t>ва, позволяющие снизить инкорпорацию радионуклида.</w:t>
      </w:r>
    </w:p>
    <w:p>
      <w:pPr>
        <w:pStyle w:val="Style44"/>
        <w:keepNext/>
        <w:keepLines/>
        <w:widowControl w:val="0"/>
        <w:shd w:val="clear" w:color="auto" w:fill="auto"/>
        <w:bidi w:val="0"/>
        <w:spacing w:before="0" w:after="0" w:line="228" w:lineRule="auto"/>
        <w:ind w:left="0" w:right="0" w:firstLine="600"/>
        <w:jc w:val="both"/>
      </w:pPr>
      <w:bookmarkStart w:id="188" w:name="bookmark188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Задача № 9</w:t>
      </w:r>
      <w:bookmarkEnd w:id="188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60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Гималаях на вершине Нанде-Дейв лавиной была разруше</w:t>
        <w:softHyphen/>
        <w:t>на станция-шпион, установленная ЦРУ США для слежения за китайскими ракетными базами. Для питания базы использова</w:t>
        <w:softHyphen/>
        <w:t>лась ядерная энергетическая установка, содержащая плуто</w:t>
        <w:softHyphen/>
        <w:t>ний-239. С талой водой снежных масс радионуклид попал в горное озеро, рядом с которым находилась небольшая деревуш</w:t>
        <w:softHyphen/>
        <w:t>ка. Жители деревушки пользовались водой из озера для питья и бытовых нужд.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28" w:lineRule="auto"/>
        <w:ind w:left="60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Опишите возможные последствия поступления в организм радиоактивного плутония и предложите лекарственные препара</w:t>
        <w:softHyphen/>
        <w:t>ты для снижения инкорпорации радионуклида.</w:t>
      </w:r>
    </w:p>
    <w:p>
      <w:pPr>
        <w:pStyle w:val="Style44"/>
        <w:keepNext/>
        <w:keepLines/>
        <w:widowControl w:val="0"/>
        <w:shd w:val="clear" w:color="auto" w:fill="auto"/>
        <w:bidi w:val="0"/>
        <w:spacing w:before="0" w:after="0" w:line="228" w:lineRule="auto"/>
        <w:ind w:left="0" w:right="0" w:firstLine="600"/>
        <w:jc w:val="both"/>
      </w:pPr>
      <w:bookmarkStart w:id="190" w:name="bookmark190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Задача № 10</w:t>
      </w:r>
      <w:bookmarkEnd w:id="190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9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результате неисправности в работе рентгеновского аппара</w:t>
        <w:softHyphen/>
        <w:t xml:space="preserve">та медицинская сестра рентгеновского кабинета получила облу- </w:t>
      </w:r>
      <w:r>
        <w:rPr>
          <w:color w:val="8A8A8A"/>
          <w:spacing w:val="0"/>
          <w:w w:val="100"/>
          <w:position w:val="0"/>
          <w:shd w:val="clear" w:color="auto" w:fill="auto"/>
          <w:lang w:val="ru-RU" w:eastAsia="ru-RU" w:bidi="ru-RU"/>
        </w:rPr>
        <w:t>|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чение кистей обеих рук в дозе 15 Гр.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28" w:lineRule="auto"/>
        <w:ind w:left="60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Какая форма лучевого поражения разовьется у пострадав</w:t>
        <w:softHyphen/>
        <w:t>шей? Опишите симптомы и течение заболевания, предложите план лечебных мероприятий.</w:t>
      </w:r>
    </w:p>
    <w:p>
      <w:pPr>
        <w:pStyle w:val="Style44"/>
        <w:keepNext/>
        <w:keepLines/>
        <w:widowControl w:val="0"/>
        <w:shd w:val="clear" w:color="auto" w:fill="auto"/>
        <w:bidi w:val="0"/>
        <w:spacing w:before="0" w:after="0" w:line="228" w:lineRule="auto"/>
        <w:ind w:left="0" w:right="0" w:firstLine="600"/>
        <w:jc w:val="both"/>
      </w:pPr>
      <w:bookmarkStart w:id="192" w:name="bookmark192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Задача № 11</w:t>
      </w:r>
      <w:bookmarkEnd w:id="192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600" w:right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7502" w:h="12269"/>
          <w:pgMar w:top="1109" w:right="317" w:bottom="981" w:left="29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вводе в эксплуатацию после ремонта завода «В204» (Ве</w:t>
        <w:softHyphen/>
        <w:t>ликобритания) в результате химической реакции произошел вы</w:t>
        <w:softHyphen/>
        <w:t>брос рутения-106 (радиоактивного продукта деления урана) в аэрозольной форме. В рабочих помещениях уровень допустимо</w:t>
        <w:softHyphen/>
        <w:t>го содержания этого радиоактивного изотопа был превышен в 100 раз. В результате радиационной аварии пострадали 35 чело-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век, в основном за счет внутреннего облучения. У одного по</w:t>
        <w:softHyphen/>
        <w:t>страдавшего доза облучения составляла 10 Зв, дозы еще четырех человек — 0,3 Зв и одного — 0,15 Зв. Здание завода подверглось радиоактивному загрязнению радионуклидами с большим пери</w:t>
        <w:softHyphen/>
        <w:t>одом полураспада, после чего работа на заводе больше не возоб</w:t>
        <w:softHyphen/>
        <w:t>новлялась.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Какие формы радиационных поражений могли развиться у пострадавших в результате аварии рабочих?</w:t>
      </w:r>
    </w:p>
    <w:p>
      <w:pPr>
        <w:pStyle w:val="Style44"/>
        <w:keepNext/>
        <w:keepLines/>
        <w:widowControl w:val="0"/>
        <w:shd w:val="clear" w:color="auto" w:fill="auto"/>
        <w:bidi w:val="0"/>
        <w:spacing w:before="0" w:after="40" w:line="228" w:lineRule="auto"/>
        <w:ind w:left="0" w:right="0" w:firstLine="0"/>
        <w:jc w:val="both"/>
      </w:pPr>
      <w:bookmarkStart w:id="194" w:name="bookmark194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Задача № 12</w:t>
      </w:r>
      <w:bookmarkEnd w:id="194"/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3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Гражданин М. длительное время работал на производстве с радиоактивными веществами, испускающими у-излучение; го</w:t>
        <w:softHyphen/>
        <w:t>довая доза облучения составляла 0,12 Гр.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30" w:lineRule="auto"/>
        <w:ind w:left="0" w:right="0"/>
        <w:jc w:val="both"/>
        <w:sectPr>
          <w:headerReference w:type="default" r:id="rId562"/>
          <w:footerReference w:type="default" r:id="rId563"/>
          <w:headerReference w:type="even" r:id="rId564"/>
          <w:footerReference w:type="even" r:id="rId565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066" w:right="464" w:bottom="1066" w:left="1678" w:header="638" w:footer="638" w:gutter="0"/>
          <w:pgNumType w:start="217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Сделайте прогноз состояния здоровья гражданина М. через 10 лет работы на этом вредном производстве и предложите меры профилактики развития патологии.</w:t>
      </w:r>
    </w:p>
    <w:p>
      <w:pPr>
        <w:pStyle w:val="Style8"/>
        <w:keepNext w:val="0"/>
        <w:keepLines w:val="0"/>
        <w:widowControl w:val="0"/>
        <w:shd w:val="clear" w:color="auto" w:fill="auto"/>
        <w:bidi w:val="0"/>
        <w:spacing w:before="0" w:after="440" w:line="259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РЕШЕНИЯ СИТУАЦИОННЫХ ЗАДАЧ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Решение задачи № 1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4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тканях организма 1 Р экспозиционной дозы у- или рентге</w:t>
        <w:softHyphen/>
        <w:t>новского облучения примерно соответствует 0,95 рал поглощен</w:t>
        <w:softHyphen/>
        <w:t>ной дозы. 1 рад = 0,01 Гр. Следовательно, 1 Р экспозиционной дозы в тканях организма человека будет составлять = 0,0095 Гр.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Решение задачи № 2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4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нахождении в очаге радиоактивного загрязнения в тече</w:t>
        <w:softHyphen/>
        <w:t>ние 1 ч моряки могут получить поглощенную дозу 220 мР • 0,95 = 200 мрад = 0,2 Гр. Острая лучевая болезнь от внешнего облуче</w:t>
        <w:softHyphen/>
        <w:t>ния развивается при превышении дозы 1 Гр (100 рад). Такую дозу моряки могут получить за 1 / 0,2 = 5 ч.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Решение задачи № 3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40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Острая лучевая болезнь от общего относительно равномерно</w:t>
        <w:softHyphen/>
        <w:t>го у-облучения возникает при поглощенной дозе более 1 Гр. Для других видов ионизирующих излучений (в том числе для ней</w:t>
        <w:softHyphen/>
        <w:t>тронного облучения) эквивалентная доза, приводящая к возник</w:t>
        <w:softHyphen/>
        <w:t>новению ОЛБ, оценивается как 1 Зв и выше. Такая доза за 1 ч радиационного воздействия может сформироваться при экспо</w:t>
        <w:softHyphen/>
        <w:t>зиционной дозе у-нейтронного облучения чуть более 100 Р (105 Р) при условии, что мощность экспозиционной дозы будет составлять не менее 100 Р/ч.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Решение задачи № 4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400"/>
        <w:jc w:val="both"/>
        <w:sectPr>
          <w:headerReference w:type="default" r:id="rId566"/>
          <w:footerReference w:type="default" r:id="rId567"/>
          <w:headerReference w:type="even" r:id="rId568"/>
          <w:footerReference w:type="even" r:id="rId569"/>
          <w:footnotePr>
            <w:pos w:val="pageBottom"/>
            <w:numFmt w:val="chicago"/>
            <w:numRestart w:val="continuous"/>
            <w15:footnoteColumns w:val="1"/>
          </w:footnotePr>
          <w:pgSz w:w="7656" w:h="12317"/>
          <w:pgMar w:top="2318" w:right="466" w:bottom="1033" w:left="840" w:header="1890" w:footer="3" w:gutter="0"/>
          <w:pgNumType w:start="217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Даже в районе взрыва поглощенная доза облучения будет от 100 до 500 мГр (0,1—0,5 Гр). При таких дозах облучения ОЛБ не развивается, но у части высокочувствительных или ослабленных людей могут наблюдаться повышенная утомляемость, слабость, тошнота, однократная рвота, преходящие нарушения в количе</w:t>
        <w:softHyphen/>
        <w:t>стве лимфоцитов по результатам клинического анализа крови. Для жителей загрязненных районов величины поглощенных доз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 порядок ниже. Развития детерминированных эффектов облу</w:t>
        <w:softHyphen/>
        <w:t>чения (в том числе развития ОЛБ) при таких дозах не ожидается.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60" w:line="228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Решение задачи № 5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За первые 2 суток после аварии люди, проживающие в 10-мильной зоне, получат эквивалентную дозу в 160 мкЗв. Учи</w:t>
        <w:softHyphen/>
        <w:t>тывая, что доза в 1 мЗв не превышает предельно допустимого уровня, для населения, попавшего в зону радиационной аварии, не прогнозируется вреда здоровью от детерминированных эф</w:t>
        <w:softHyphen/>
        <w:t>фектов облучения, но существует (хотя и очень незначительная) вероятность нарушения здоровья вследствие стохастических эф</w:t>
        <w:softHyphen/>
        <w:t>фектов облучения.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60" w:line="228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Решение задачи № 6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За 3 ч работы сотрудники аварийного объекта получат погло</w:t>
        <w:softHyphen/>
        <w:t>щенную дозу равную (100 Р-0,95)-3 = 285 рад = 2,85 Гр. Эта доза соответствует средней степени тяжести острой лучевой бо</w:t>
        <w:softHyphen/>
        <w:t>лезни. У всех пострадавших будет наблюдаться первичная реак</w:t>
        <w:softHyphen/>
        <w:t>ция на облучение: слабость, тошнота, повторная рвота, возмож</w:t>
        <w:softHyphen/>
        <w:t>но повышение температуры тела, головокружение, головная боль. Для купирования эметического синдрома (тошноты и рво</w:t>
        <w:softHyphen/>
        <w:t>ты) необходимо внутривенно или внутримышечно ввести 2 мл латрана (ондансетрона) или 2 мл метоклопрамида. Пострадав</w:t>
        <w:softHyphen/>
        <w:t>шим показано применение средств ранней патогенетической те</w:t>
        <w:softHyphen/>
        <w:t>рапии: беталейкин 1 мл подкожно и плазмозамещающие препа</w:t>
        <w:softHyphen/>
        <w:t>раты (гемодез, аминодез, глюконеодез, поливисолин, полиглю- кин, изотонический раствор хлорида натрия и др.) внутривенно. После оказания неотложной помощи (в частности, купирования рвоты) все пострадавшие должны быть госпитализированы в специализированный стационар.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60" w:line="228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Решение задачи №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7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28" w:lineRule="auto"/>
        <w:ind w:left="0" w:right="0"/>
        <w:jc w:val="both"/>
        <w:sectPr>
          <w:headerReference w:type="default" r:id="rId570"/>
          <w:footerReference w:type="default" r:id="rId571"/>
          <w:headerReference w:type="even" r:id="rId572"/>
          <w:footerReference w:type="even" r:id="rId573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74" w:right="665" w:bottom="856" w:left="1471" w:header="446" w:footer="3" w:gutter="0"/>
          <w:pgNumType w:start="219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Иод-131 является р- и у-излучателем с периодом полураспада 8 суток. В организм поступает ингаляционным путем при вдыха</w:t>
        <w:softHyphen/>
        <w:t>нии загрязненного воздуха или пероральным путем при приеме пищи, воды (или молочных продуктов), подвергшихся радиоак</w:t>
        <w:softHyphen/>
        <w:t>тивному заражению. Уже через 6 ч до 15—20% поступившего в организм радиоактивного йода фиксируется в щитовидной же</w:t>
        <w:softHyphen/>
        <w:t>лезе, а через 1 сутки в ней накапливается до 25—30% изотопа. Основными последствиями этого процесса являются развитие гипотиреоза и опухолевых заболеваний щитовидной железы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(в отдаленные сроки), а при поступлении больших доз — тирео</w:t>
        <w:softHyphen/>
        <w:t>идита и тиреонекроза. При ингаляции радиоактивного йода воз</w:t>
        <w:softHyphen/>
        <w:t>можны осложнения в виде интерстициального пневмонита и пневмосклероза.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Эффективным средством профилактики инкорпорации радио</w:t>
        <w:softHyphen/>
        <w:t>активного йода в щитовидной железе являются препараты стаби</w:t>
        <w:softHyphen/>
        <w:t>льного йода, прежде всего калия йодид. Оптимальной дозой ка</w:t>
        <w:softHyphen/>
        <w:t>лия йодида, достаточной для защиты щитовидной железы взрос</w:t>
        <w:softHyphen/>
        <w:t>лого человека в условиях многократного поступления йода-131, является доза 0,125 г (1 таблетка). Прием этого препарата необ</w:t>
        <w:softHyphen/>
        <w:t>ходимо начинать до первого контакта с радиоактивным йодом, а при необходимости длительного пребывания на радиоактив</w:t>
        <w:softHyphen/>
        <w:t>но-загрязненной местности взрослым и детям старше 2 лет сле</w:t>
        <w:softHyphen/>
        <w:t>дует принимать его в той же дозе (1 таблетка) после еды вместе с киселем, чаем или водой 1 раз в сутки в течение 8-10 дней. Дети до 2 лет должны получать по 1 таблетке по 0,04 г на прием внутрь ежедневно. Для защиты щитовидной железы плода беременным женщинам рекомендован прием двух препаратов: калия йодид в дозе 0,125 г и калия перхлорат в дозе 0,75 г (3 таблетки по 0,25 г).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случае отсутствия таблеток калия йодида допускается при</w:t>
        <w:softHyphen/>
        <w:t>менение 5% настойки йода или раствора Люголя. Настойка йода, как и раствор Люголя, применяется взрослым и подросткам старше 14 лет по 40—44 капли 1 раз в день или по 20—22 капли 2 раза в день после еды на 1/2 стакана молока или воды. Детям от 5 лет 5% настойка йода применяется в 2 раза меньшем количест</w:t>
        <w:softHyphen/>
        <w:t>ве, чем для взрослых, т. е. по 20—22 капли 1 раз в день или по 10—11 капель 2 раза в день на 1/2 стакана молока или воды. Детям до 5 лет настойку йода и раствор Люголя внутрь не назначают.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Настойку йода и раствор Люголя применяют до исчезнове</w:t>
        <w:softHyphen/>
        <w:t>ния угрозы поступления в организм радиоактивных изотопов йода. При этом защитная эффективность этих способов прове</w:t>
        <w:softHyphen/>
        <w:t>дения йодной профилактики все же ниже, чем использование лекарственного препарата калия йодида.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Настойка йода может также применяться наружно: путем нанесения с помощью тампона полос (сетки) на кожу предпле</w:t>
        <w:softHyphen/>
        <w:t>чья или голени. Защитный эффект нанесения настойки йода на кожу сопоставим с ее приемом внутрь в тех же дозах. Этот способ защиты особенно важен у детей младшего возраста (до 5 лет), по</w:t>
        <w:softHyphen/>
        <w:t>скольку перорально настойка йода у них не применяется.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360"/>
        <w:jc w:val="both"/>
        <w:sectPr>
          <w:headerReference w:type="default" r:id="rId574"/>
          <w:footerReference w:type="default" r:id="rId575"/>
          <w:headerReference w:type="even" r:id="rId576"/>
          <w:footerReference w:type="even" r:id="rId577"/>
          <w:footnotePr>
            <w:pos w:val="pageBottom"/>
            <w:numFmt w:val="chicago"/>
            <w:numRestart w:val="continuous"/>
            <w15:footnoteColumns w:val="1"/>
          </w:footnotePr>
          <w:pgSz w:w="7277" w:h="12322"/>
          <w:pgMar w:top="1133" w:right="460" w:bottom="1010" w:left="518" w:header="705" w:footer="3" w:gutter="0"/>
          <w:pgNumType w:start="219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Кроме назначения препаратов стабильного йода, при пер</w:t>
        <w:softHyphen/>
        <w:t>оральном поступлении йода-131 необходимо перорально при-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пять адсорбенты, слабительное, 10% раствор тиосульфата натрия (25—50 мл) с последующим промыванием желудка и применени</w:t>
        <w:softHyphen/>
        <w:t>ем очистительных клизм. В случае ингаляции радионуклида на</w:t>
        <w:softHyphen/>
        <w:t>значаются отхаркивающие препараты, муколитики, лечебные ингаляции.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60" w:line="228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Решение задачи № 8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Стронций-90 — р-излучатель с периодом полураспада 29 лет. Определенную опасность может также представлять стронций-89, который также является р-излучателем с периодом полураспада 50,5 суток. Являясь аналогом кальция, изотопы стронция фик</w:t>
        <w:softHyphen/>
        <w:t>сируются в костной ткани: в костях, зубах и в костном мозге, которые и оказываются критическими органами. Увеличение содержания в диете солей кальция снижает всасываемость сое</w:t>
        <w:softHyphen/>
        <w:t>динений стронция, а при потреблении молока всасываемость стронция, напротив, повышается. Выводится стронций с калом и мочой. Эффективный период полувыведения стронция-90 из организма составляет 15,6 года.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ранние сроки после поступления стронция-90 в большом количестве наблюдаются изменения в органах, через которые он поступает или выводится: слизистая оболочка рта, верхних дыха</w:t>
        <w:softHyphen/>
        <w:t>тельных путей, кишечник. Позднее нарушаются функции пече</w:t>
        <w:softHyphen/>
        <w:t>ни. При ингаляционном поступлении мало растворимых соеди</w:t>
        <w:softHyphen/>
        <w:t>нений стронция-90 изотоп может достаточно прочно фиксиро</w:t>
        <w:softHyphen/>
        <w:t>ваться в легких, которые в этих случаях вместе с дыхательными путями являются критическими органами. Однако в отдаленные сроки и после ингаляционного поступления критическими орга</w:t>
        <w:softHyphen/>
        <w:t>нами становятся кости и костный мозг, в которых депонируются до 90% всей активности.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При длительном поступлении стронция-90 и подостром тече</w:t>
        <w:softHyphen/>
        <w:t>нии болезни постепенно развивается анемия, наблюдается угне</w:t>
        <w:softHyphen/>
        <w:t>тение спермато- и овогенеза, нарушения иммунитета, функции печени и почек, нейроэндокринной системы, сокращается про</w:t>
        <w:softHyphen/>
        <w:t>должительность жизни. В отдаленные сроки развиваются гипер- или гипопластические процессы в костном мозге, лейкозы, сар</w:t>
        <w:softHyphen/>
        <w:t>комы кости.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результате высокой концентрации стронция в организме детей, наблюдается задержка роста, деформация суставов и кос</w:t>
        <w:softHyphen/>
        <w:t>тей, такое заболевание получило название «стронциевый рахит».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/>
        <w:jc w:val="both"/>
        <w:sectPr>
          <w:headerReference w:type="default" r:id="rId578"/>
          <w:footerReference w:type="default" r:id="rId579"/>
          <w:headerReference w:type="even" r:id="rId580"/>
          <w:footerReference w:type="even" r:id="rId581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81" w:right="511" w:bottom="854" w:left="1625" w:header="453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Для предотвращения инкорпорации радиоактивного строн</w:t>
        <w:softHyphen/>
        <w:t>ция применяют полисурьмин — неорганический ионообменный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полимер, по химической структуре являющийся кремнесурьмя</w:t>
        <w:softHyphen/>
        <w:t>нокислым катионитом. Полисурьмин обладает высокой избира</w:t>
        <w:softHyphen/>
        <w:t>тельностью к ионам, обеспечивая снижение резорбции радиоак</w:t>
        <w:softHyphen/>
        <w:t>тивного стронция из кишечника на 95—97%. Препарат применя</w:t>
        <w:softHyphen/>
        <w:t>ют внутрь в дозе 4 г в 0,5 стакана воды 3 раза в день в течение 7 суток.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Кроме полисурьмина для профилактики резорбции изотопов стронция применяют адсобар (сульфат бария с повышенными адсорбционными свойствами) в дозе 25 г в 0,5 стакана воды, аль</w:t>
        <w:softHyphen/>
        <w:t>гинат кальция или его соединение с гиалуроновой кислотой — альгисорб. Защитный эффект альгината кальция и альгисорба по отношению к радиоактивному стронцию составляет 90%. Пре</w:t>
        <w:softHyphen/>
        <w:t>параты применяют при приеме пищи в дозе 5,0 г (10 таблеток по 0,5 г) 3 раза в день, а при остром отравлении радиоактивным стронцием — в дозе 20 г однократно.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Весьма эффективно (до 87%) резорбцию стронция предот</w:t>
        <w:softHyphen/>
        <w:t>вращает также фосфалюгель (100—200 мл внутрь).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20" w:line="228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Перечисленные препараты используют в сочетании с промы</w:t>
        <w:softHyphen/>
        <w:t>ванием желудка, приемом слабительных средств, назначением очистительных клизм и диуретиков (при пероральном поступле</w:t>
        <w:softHyphen/>
        <w:t>нии радионуклида) или на фоне применения муколитиков, от</w:t>
        <w:softHyphen/>
        <w:t>харкивающих средств и бронхопульмонального лаважа (при ин</w:t>
        <w:softHyphen/>
        <w:t>галяционном пути поступления изотопа).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60" w:line="228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Решение задачи № 9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Плутоний-239 — трансурановый элемент, а- и у-излучатель с периодом полураспада 24 360 лет. Внешнее облучение плуто</w:t>
        <w:softHyphen/>
        <w:t>ний-239 мало опасно для человека, а поступление этого изотопа внутрь организма, которое может произойти алиментарным, ин</w:t>
        <w:softHyphen/>
        <w:t>галяционным путем, через поврежденную и даже неповрежден</w:t>
        <w:softHyphen/>
        <w:t>ную кожу, требует проведения немедленных и весьма активных лечебных мероприятий. Поступивший в организм плутоний от</w:t>
        <w:softHyphen/>
        <w:t>кладывается в печени (45%), скелете (45%), остальное его коли</w:t>
        <w:softHyphen/>
        <w:t>чество — в других органах и тканях и выводится с экскретами в ранние сроки после поступления. Биологический период полу</w:t>
        <w:softHyphen/>
        <w:t>выведения плутония из скелета составляет 100 лет, а из пече</w:t>
        <w:softHyphen/>
        <w:t>ни — 40 лет.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28" w:lineRule="auto"/>
        <w:ind w:left="0" w:right="0" w:firstLine="360"/>
        <w:jc w:val="both"/>
        <w:sectPr>
          <w:headerReference w:type="default" r:id="rId582"/>
          <w:footerReference w:type="default" r:id="rId583"/>
          <w:headerReference w:type="even" r:id="rId584"/>
          <w:footerReference w:type="even" r:id="rId585"/>
          <w:footnotePr>
            <w:pos w:val="pageBottom"/>
            <w:numFmt w:val="chicago"/>
            <w:numRestart w:val="continuous"/>
            <w15:footnoteColumns w:val="1"/>
          </w:footnotePr>
          <w:pgSz w:w="7315" w:h="12274"/>
          <w:pgMar w:top="1037" w:right="345" w:bottom="1037" w:left="667" w:header="609" w:footer="3" w:gutter="0"/>
          <w:pgNumType w:start="22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После энтерального поступления плутония в клинической картине преобладают проявления нарушения функций крове</w:t>
        <w:softHyphen/>
        <w:t>творения и кровообращения. Даже после поступления в орга</w:t>
        <w:softHyphen/>
        <w:t>низм малых доз этого радионуклида развивается хроническая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форма поражения, проявляющаяся возникновением гипо- и ги</w:t>
        <w:softHyphen/>
        <w:t>перпластических процессов в системе крови, развитием остео</w:t>
        <w:softHyphen/>
        <w:t>дисплазии, цирроза печени, нефросклероза, злокачественными новообразованиями в различных органах, наиболее часто в кос</w:t>
        <w:softHyphen/>
        <w:t>тях. При поступлении плутония через органы дыхания развива</w:t>
        <w:softHyphen/>
        <w:t>ется интерстициальный пневмонит, фибринозная пневмония и пневмосклероз, для поздних сроков характерно возникновение опухолей легких.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 числу средств, ускоряющих выведение из организма радио</w:t>
        <w:softHyphen/>
        <w:t>активного плутония (а также изотопов америция, иттрия, церия, циркония и смеси продуктов деления урана), относится пента- цин. Препарат в виде раствора 50 мг/мл для внутривенного вве</w:t>
        <w:softHyphen/>
        <w:t>дения выпускается в ампулах по 5 мл и применяется внутривен</w:t>
        <w:softHyphen/>
        <w:t>но и ингаляционно. Ингаляцию аэрозоля из 5 мл 5% раствора препарата применяют в первые сутки (желательно в первые 30 мин) после поступления плутония в легкие. Затем (спустя 1 сут</w:t>
        <w:softHyphen/>
        <w:t>ки) переходят на внутривенный путь введения: курсовая (10-20 инъекций) терапия 5 мл 5% раствора через каждые 1—2 дня. По</w:t>
        <w:softHyphen/>
        <w:t>сле внутривенного введения пентацина скорость экскреции плу</w:t>
        <w:softHyphen/>
        <w:t>тония увеличивается в 50-100 раз. Наиболее эффективен ранний курс терапии комплексоном: в первые часы после заражения он позволяет вывести из организма 50—60% плутония.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Другим эффективным лекарственным средством является тримефацин, который применяют ингаляционно и внутривенно в виде 5% раствора. При остром отравлении плутонием-239 пре</w:t>
        <w:softHyphen/>
        <w:t>парат вводят однократно в дозе 40 мл 5% раствора, в последую</w:t>
        <w:softHyphen/>
        <w:t>щие 2—3 дня дозу снижают до 20 мл в сутки. При поступлении радионуклида в дыхательные пути препарат применяют как внутривенно, так и ингаляционно (20 мл раствора, время инга</w:t>
        <w:softHyphen/>
        <w:t>ляции 15—20 мин).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  <w:sectPr>
          <w:headerReference w:type="default" r:id="rId586"/>
          <w:footerReference w:type="default" r:id="rId587"/>
          <w:headerReference w:type="even" r:id="rId588"/>
          <w:footerReference w:type="even" r:id="rId589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74" w:right="573" w:bottom="874" w:left="1563" w:header="446" w:footer="3" w:gutter="0"/>
          <w:pgNumType w:start="22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Как и при поступлении в организм других радионуклидов, при пероральном отравлении плутонием необходимо промыва</w:t>
        <w:softHyphen/>
        <w:t>ние желудка, прием адсорбентов, слабительных средств, форси</w:t>
        <w:softHyphen/>
        <w:t>рованный диурез, поддержание pH мочи в пределах 8 с помо</w:t>
        <w:softHyphen/>
        <w:t>щью внутривенного введения бикарбоната натрия. При ингаля</w:t>
        <w:softHyphen/>
        <w:t>ционном поступлении применяются отхаркивающие препараты, муколитики, а в тяжелых случаях — бронхопульмональный ла</w:t>
        <w:softHyphen/>
        <w:t>важ раствором пентацина.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Решение №10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результате местного облучения в дозе 15 Гр у пострадавшей лучевой ожог кожных покровов II степени тяжести (экссудатив</w:t>
        <w:softHyphen/>
        <w:t>ная форма лучевого дерматита). Первичная эритема будет на</w:t>
        <w:softHyphen/>
        <w:t>блюдаться в течение первых 2-3 суток, скрытый период будет до двух недель (10—15 суток). Вторичная эритема проявится отеком кожи и подкожной клетчатки, чувством жжения, зуда, боли, об</w:t>
        <w:softHyphen/>
        <w:t>щей интоксикацией и лихорадкой, появятся пузыри, после вскрытия которых образуются эрозии и поверхностные язвы, за</w:t>
        <w:softHyphen/>
        <w:t>живающие в течение 2—3 недель. Общая продолжительность за</w:t>
        <w:softHyphen/>
        <w:t>болевания составит 1—2 месяца, после восстановления кожных покровов возможны выраженные дефекты в виде рубцов и пиг</w:t>
        <w:softHyphen/>
        <w:t>ментных пятен, а также тяжелые отдаленные последствия в виде атрофии кожи и подлежащих тканей.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Лечение местных лучевых поражений должно быть комплек</w:t>
        <w:softHyphen/>
        <w:t>сным и включать средства, обладающие антибактериальными, детоксицирующими, анальгетическими, десенсибилизирующи</w:t>
        <w:softHyphen/>
        <w:t>ми, некролитическими и стимулирующими репаративные про</w:t>
        <w:softHyphen/>
        <w:t>цессы свойствами.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 этапе воспаления для профилактики и лечения инфекци</w:t>
        <w:softHyphen/>
        <w:t>онных осложнений местно нужно применять антисептики и хи</w:t>
        <w:softHyphen/>
        <w:t>миотерапевтические препараты: 1—2% раствор перекиси водоро</w:t>
        <w:softHyphen/>
        <w:t>да, 0,2% растворы грамицидина, фурацилина, риванола, 10% раствор димексида, 0,5% раствор перманганата калия. Показаны также мази, эмульсии и аэрозоли, содержащие различные анти</w:t>
        <w:softHyphen/>
        <w:t>биотики (тетрациклин, синтомицин, стрептомицин, эритроми</w:t>
        <w:softHyphen/>
        <w:t>цин) и другие антимикробные препараты (фурагин, диоксидин). Высока эффективность использования коллагеновых покрытий (комбутек). Для ослабления чувства жжения и боли в мази сле</w:t>
        <w:softHyphen/>
        <w:t>дует добавить местные анестетики (новокаин или дикаин), в качестве противовоспалительных средств можно использовать аэрозоли и мази с глюкокортикоидами (преднизолон, гидрокор</w:t>
        <w:softHyphen/>
        <w:t>тизон и др.). На этом же этапе проводится дезинтоксикационная терапия плазмозамещающими растворами, парентерально вво</w:t>
        <w:softHyphen/>
        <w:t>дятся антибиотики широкого спектра действия, иммуномодуля</w:t>
        <w:softHyphen/>
        <w:t>торы, при сильных болях — наркотические анальгетики.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both"/>
        <w:sectPr>
          <w:headerReference w:type="default" r:id="rId590"/>
          <w:footerReference w:type="default" r:id="rId591"/>
          <w:headerReference w:type="even" r:id="rId592"/>
          <w:footerReference w:type="even" r:id="rId593"/>
          <w:footnotePr>
            <w:pos w:val="pageBottom"/>
            <w:numFmt w:val="chicago"/>
            <w:numRestart w:val="continuous"/>
            <w15:footnoteColumns w:val="1"/>
          </w:footnotePr>
          <w:pgSz w:w="7378" w:h="12240"/>
          <w:pgMar w:top="1090" w:right="413" w:bottom="962" w:left="672" w:header="662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На этапе восстановления для стимуляции процессов можно применять солкосерил, актовегин, мази с колланхоэ, прополи</w:t>
        <w:softHyphen/>
        <w:t>сом, облепиховым маслом, бальзам Шостаковского. Для ускоре</w:t>
        <w:softHyphen/>
        <w:t>ния эпителизации показано парентеральное введение дерината,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28" w:lineRule="auto"/>
        <w:ind w:left="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местное применение комплексных препаратов типа «Лиокса- золь», «Левомеколь» и др.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60" w:line="228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Решение задачи №11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00" w:line="228" w:lineRule="auto"/>
        <w:ind w:left="0" w:right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Облучение в эквивалентной дозе 10 Зв (что в случае у-облуче- ния соответствует 10 Гр поглощенной дозы) может привести к формированию крайне тяжелой степени острой лучевой болезни от внешнего относительно равномерного облучения. В этом случае внешнее облучение дополнялось местным облучением слизистых оболочек ротоносоглотки, что привело к развитию орофарингеального синдрома II степени тяжести, а также ин</w:t>
        <w:softHyphen/>
        <w:t>корпорацией радионуклидов, что также усугубит состояние по</w:t>
        <w:softHyphen/>
        <w:t>страдавшего. Прогноз для жизни и здоровья у него — крайне не</w:t>
        <w:softHyphen/>
        <w:t>благоприятный. После облучения в дозе 0,3 Зв (как и 0,15 Зв) острая лучевая болезнь не развивается. Однако и в этих случаях возможны негативные последствия для здоровья пострадавших из-за инкорпорации радионуклидов и длительного внутреннего облучения организма с постепенным формированием поражаю</w:t>
        <w:softHyphen/>
        <w:t>щих доз. В связи с этим все пострадавшие должны быть госпита</w:t>
        <w:softHyphen/>
        <w:t>лизированы для проведения специфического лечения.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60" w:line="228" w:lineRule="auto"/>
        <w:ind w:left="0" w:right="0" w:firstLine="0"/>
        <w:jc w:val="both"/>
      </w:pP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Решение задачи № 12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40" w:line="228" w:lineRule="auto"/>
        <w:ind w:left="0" w:right="0"/>
        <w:jc w:val="both"/>
        <w:sectPr>
          <w:headerReference w:type="default" r:id="rId594"/>
          <w:footerReference w:type="default" r:id="rId595"/>
          <w:headerReference w:type="even" r:id="rId596"/>
          <w:footerReference w:type="even" r:id="rId597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877" w:right="492" w:bottom="877" w:left="1640" w:header="449" w:footer="449" w:gutter="0"/>
          <w:pgNumType w:start="225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За 10 лет работы суммарная доза облучения гражданина М. составит 1,2 Гр. Это может привести к развитию хронической лучевой болезни I степени тяжести, которая проявляется слабо</w:t>
        <w:softHyphen/>
        <w:t>стью, недомоганием, диспепсическими расстройствами желу</w:t>
        <w:softHyphen/>
        <w:t>дочно-кишечного тракта, вегетативными расстройствами. Для профилактики развития хронической лучевой болезни необхо</w:t>
        <w:softHyphen/>
        <w:t>димо прекращение воздействия излучения, т. е. отстранение ра</w:t>
        <w:softHyphen/>
        <w:t>ботника от вредных условий труда. Кроме того, за ним необхо</w:t>
        <w:softHyphen/>
        <w:t>димо установить постоянный медицинский контроль с периоди</w:t>
        <w:softHyphen/>
        <w:t>ческой оценкой картины периферической крови и маркеров онкозаболеваний. Для повышения неспецифической резистент</w:t>
        <w:softHyphen/>
        <w:t>ности организма необходимо назначить препараты из группы адаптогенов растительного происхождения — экстракт элеутеро</w:t>
        <w:softHyphen/>
        <w:t>кокка, настойки женьшеня или лимонника (курсами по 2-3 не</w:t>
        <w:softHyphen/>
        <w:t>дели по 20—30 капель за 30 мин до еды 3 раза в сутки с перерыва</w:t>
        <w:softHyphen/>
        <w:t>ми 2—3 недели), а также витаминные или витаминно-аминокис</w:t>
        <w:softHyphen/>
        <w:t>лотные комплексы — амитетравит, тетрафолевит, компливит и пр.</w:t>
      </w:r>
    </w:p>
    <w:p>
      <w:pPr>
        <w:pStyle w:val="Style8"/>
        <w:keepNext w:val="0"/>
        <w:keepLines w:val="0"/>
        <w:widowControl w:val="0"/>
        <w:shd w:val="clear" w:color="auto" w:fill="auto"/>
        <w:bidi w:val="0"/>
        <w:spacing w:before="0" w:after="46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РЕКОМЕНДУЕМАЯ ЛИТЕРАТУРА</w:t>
      </w:r>
    </w:p>
    <w:p>
      <w:pPr>
        <w:pStyle w:val="Style8"/>
        <w:keepNext w:val="0"/>
        <w:keepLines w:val="0"/>
        <w:widowControl w:val="0"/>
        <w:shd w:val="clear" w:color="auto" w:fill="auto"/>
        <w:bidi w:val="0"/>
        <w:spacing w:before="0" w:after="120" w:line="228" w:lineRule="auto"/>
        <w:ind w:left="0" w:right="0" w:firstLine="0"/>
        <w:jc w:val="both"/>
        <w:rPr>
          <w:sz w:val="19"/>
          <w:szCs w:val="19"/>
        </w:rPr>
      </w:pPr>
      <w:r>
        <w:rPr>
          <w:b/>
          <w:bCs/>
          <w:i/>
          <w:iCs/>
          <w:spacing w:val="0"/>
          <w:w w:val="100"/>
          <w:position w:val="0"/>
          <w:sz w:val="19"/>
          <w:szCs w:val="19"/>
          <w:shd w:val="clear" w:color="auto" w:fill="auto"/>
          <w:lang w:val="ru-RU" w:eastAsia="ru-RU" w:bidi="ru-RU"/>
        </w:rPr>
        <w:t>Основная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54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Военная токсикология, радиобиология и медицинская защита: Учебник для студентов медицинских и фармацевтических вузов / С. А. Куценко, Н. В. Бутомо, А. Н. Гребенюк и др.; под ред. С. А. Куценко. — СПб: Фо</w:t>
        <w:softHyphen/>
        <w:t>лиант, 2004. — 528 с.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54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Практикум по токсикологии и медицинской защите: Учебное пособие для студентов медицинских и фармацевтических вузов / А. Н. Гребенюк, В. А. Башарин, Н. В. Бутомо и др.; под ред. А. Н. Гребенюка. — СПб: Фолиант, 2011. — 296 с.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54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Тестовые задания по военной токсикологии, радиобиологии и медицин</w:t>
        <w:softHyphen/>
        <w:t>ской защите: Учебное пособие для студентов медицинских и фарма</w:t>
        <w:softHyphen/>
        <w:t>цевтических вузов / В. А. Башарин, Н. Ф. Маркизова, Н. В. Бутомо, А. Н. Гребенюк; под ред. С. А. Куценко. — СПб: Фолиант, 2005. — 224 с.</w:t>
      </w:r>
    </w:p>
    <w:p>
      <w:pPr>
        <w:pStyle w:val="Style8"/>
        <w:keepNext w:val="0"/>
        <w:keepLines w:val="0"/>
        <w:widowControl w:val="0"/>
        <w:shd w:val="clear" w:color="auto" w:fill="auto"/>
        <w:bidi w:val="0"/>
        <w:spacing w:before="0" w:after="120" w:line="228" w:lineRule="auto"/>
        <w:ind w:left="0" w:right="0" w:firstLine="0"/>
        <w:jc w:val="both"/>
        <w:rPr>
          <w:sz w:val="19"/>
          <w:szCs w:val="19"/>
        </w:rPr>
      </w:pPr>
      <w:r>
        <w:rPr>
          <w:b/>
          <w:bCs/>
          <w:i/>
          <w:iCs/>
          <w:spacing w:val="0"/>
          <w:w w:val="100"/>
          <w:position w:val="0"/>
          <w:sz w:val="19"/>
          <w:szCs w:val="19"/>
          <w:shd w:val="clear" w:color="auto" w:fill="auto"/>
          <w:lang w:val="ru-RU" w:eastAsia="ru-RU" w:bidi="ru-RU"/>
        </w:rPr>
        <w:t>Дополнительная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54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Гепарин и радиорезистентность / Б. П. Лукашин; под ред. А. Н. Гребеню</w:t>
        <w:softHyphen/>
        <w:t>ка. — СПб: Фолиант, 2007. — 128 с.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54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Клиническая радиология: Учебное пособие / А. Н. Власенко, В. И. Легеза, С. Ю. Матвеев, А. Е. Сосюкин; под ред. А. Е. Сосюкина. — М.: ГЭОТАР- Медиа, 2008. — 224 с.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57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Медицинские средства противорадиационной защиты: Пособие для вра</w:t>
        <w:softHyphen/>
        <w:t>чей / В. И. Легеза, А. Н. Гребенюк, Н. В. Бутомо и др. — СПб: Лань, 2001, —96 с.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Медицинские средства профилактики и терапии радиационных пораже</w:t>
        <w:softHyphen/>
        <w:t>ний: Учебное пособие / А. Н. Гребенюк, В. И. Легеза, В. Б. Назаров, А. А. Тимошевский. — СПб: Фолиант, 2011. — 92 с.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57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Основы медицинской радиобиологии / Н. В. Бутомо, А. Н. Гребенюк, В. И. Легеза и др.; под ред. И. Б. Ушакова. — СПб: Фолиант, 2004. — 384 с.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57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Практические работы по курсу «Радиоэкология»: Учебное пособие / А. А. Ка- сьяненко, О. А. Максимова, С. В. Мамихин, В. Р. Ахмедзянов; под ред. А. А. Касьяненко. — М.: РУДН, 2011. — 210 с.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54" w:lineRule="auto"/>
        <w:ind w:left="340" w:right="0" w:hanging="340"/>
        <w:jc w:val="both"/>
        <w:sectPr>
          <w:headerReference w:type="default" r:id="rId598"/>
          <w:footerReference w:type="default" r:id="rId599"/>
          <w:headerReference w:type="even" r:id="rId600"/>
          <w:footerReference w:type="even" r:id="rId601"/>
          <w:footnotePr>
            <w:pos w:val="pageBottom"/>
            <w:numFmt w:val="chicago"/>
            <w:numRestart w:val="continuous"/>
            <w15:footnoteColumns w:val="1"/>
          </w:footnotePr>
          <w:pgSz w:w="7363" w:h="12283"/>
          <w:pgMar w:top="2434" w:right="388" w:bottom="933" w:left="686" w:header="2006" w:footer="3" w:gutter="0"/>
          <w:pgNumType w:start="225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Радиационная биофизика (ионизирующие излучения): Учебник / Ю.Б. Куд</w:t>
        <w:softHyphen/>
        <w:t>ряшов. — М.: Физматлит, 2004. — 448 с.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52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Радиационная медицина: Руководство для врачей-исследователей и ор</w:t>
        <w:softHyphen/>
        <w:t>ганизаторов здравоохранения. Т. II. Радиационные поражения чело</w:t>
        <w:softHyphen/>
        <w:t>века / В. М. Абдуллаева, М. Ю. Антонова, В. И. Бадьин и др.; науч, ред. А. К. Гуськова, Г. Д. Селидовкин, под общ. ред. Л. А. Ильина. — М.: ИздАТ, 2001.—432 с.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Радиационные поражения человека. Избранные клинические лекции: ме</w:t>
        <w:softHyphen/>
        <w:t>тодическое пособие / А. В. Барабанова, А. Е. Баранов, А. Ю. Бушма</w:t>
        <w:softHyphen/>
        <w:t>нов, А. К. Гуськова; под ред. А. Ю. Бушманова, В. Д. Ревы, —М.: Слово, 2007. — 176 с.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Радиационная экология: Учебное пособие / В. Д. Старков, В. И. Мигунов. — Тюмень: ИПП «Тюмень», 2003. — 304 с.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Радиация и патология: Учебное пособие/А. Ф. Цыб, Р. С. Будагов, И. А. За- мулаева и др.; под ред. А. Ф. Цыба. — М.: Высшая школа, 2005. — 341 с.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Радиобиология неионизирующих и ионизирующих излучений / В. О. Са</w:t>
        <w:softHyphen/>
        <w:t>мойлов, В. Г. Владимиров, Л. А. Шарова. — СПб: ИнформМед, 2010. — 208 с.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Радиобиология человека и животных: Учебное пособие / С. П. Ярмоненко, А. А. Вайнсон; под ред. С. П. Ярмоненко. — М.: Высшая школа, 2004. — 549 с.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54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Синдромы острой лучевой болезни. Клинические проявления, профилак</w:t>
        <w:softHyphen/>
        <w:t>тика и лечение / Г. М. Аветисов, В. Г. Владимиров, С. Ф. Гончаров и др. — М.: ВЦМК «Защита», 2003. — 244 с.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Сочетанные радиационные поражения / Е. Е. Гогин, В. М. Емельяненко, Б. А. Бенецкий, В. Н. Филатов. — М.: НПО «Известия», 2000. — 240 с.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340" w:right="0" w:hanging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Средства профилактики и лечения лучевых поражений / М. В. Васин. — М.: РМАПО, 2006. — 340 с.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340" w:right="0" w:hanging="340"/>
        <w:jc w:val="both"/>
        <w:sectPr>
          <w:headerReference w:type="default" r:id="rId602"/>
          <w:footerReference w:type="default" r:id="rId603"/>
          <w:headerReference w:type="even" r:id="rId604"/>
          <w:footerReference w:type="even" r:id="rId605"/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066" w:right="299" w:bottom="1066" w:left="1842" w:header="638" w:footer="638" w:gutter="0"/>
          <w:pgNumType w:start="227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Эметический синдром / В. И. Легеза, И. Ш. Галеев, А. Б. Селезнев. — СПб: Фолиант, 2005. — 144 с.</w:t>
      </w:r>
    </w:p>
    <w:p>
      <w:pPr>
        <w:pStyle w:val="Style8"/>
        <w:keepNext w:val="0"/>
        <w:keepLines w:val="0"/>
        <w:widowControl w:val="0"/>
        <w:numPr>
          <w:ilvl w:val="0"/>
          <w:numId w:val="201"/>
        </w:numPr>
        <w:shd w:val="clear" w:color="auto" w:fill="auto"/>
        <w:tabs>
          <w:tab w:pos="321" w:val="left"/>
        </w:tabs>
        <w:bidi w:val="0"/>
        <w:spacing w:before="0" w:after="4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H.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Гребенюк</w:t>
      </w:r>
    </w:p>
    <w:p>
      <w:pPr>
        <w:pStyle w:val="Style8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О. Ю. Стрелова</w:t>
      </w:r>
    </w:p>
    <w:p>
      <w:pPr>
        <w:pStyle w:val="Style8"/>
        <w:keepNext w:val="0"/>
        <w:keepLines w:val="0"/>
        <w:widowControl w:val="0"/>
        <w:numPr>
          <w:ilvl w:val="0"/>
          <w:numId w:val="201"/>
        </w:numPr>
        <w:shd w:val="clear" w:color="auto" w:fill="auto"/>
        <w:tabs>
          <w:tab w:pos="302" w:val="left"/>
        </w:tabs>
        <w:bidi w:val="0"/>
        <w:spacing w:before="0" w:after="4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И. Легеза</w:t>
      </w:r>
    </w:p>
    <w:p>
      <w:pPr>
        <w:pStyle w:val="Style8"/>
        <w:keepNext w:val="0"/>
        <w:keepLines w:val="0"/>
        <w:widowControl w:val="0"/>
        <w:shd w:val="clear" w:color="auto" w:fill="auto"/>
        <w:bidi w:val="0"/>
        <w:spacing w:before="0" w:after="68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Е. Н. Степанова</w:t>
      </w:r>
    </w:p>
    <w:p>
      <w:pPr>
        <w:pStyle w:val="Style57"/>
        <w:keepNext w:val="0"/>
        <w:keepLines w:val="0"/>
        <w:widowControl w:val="0"/>
        <w:shd w:val="clear" w:color="auto" w:fill="auto"/>
        <w:bidi w:val="0"/>
        <w:spacing w:before="0" w:after="580" w:line="298" w:lineRule="auto"/>
        <w:ind w:left="0" w:right="0" w:firstLine="0"/>
        <w:jc w:val="center"/>
        <w:rPr>
          <w:sz w:val="30"/>
          <w:szCs w:val="30"/>
        </w:rPr>
      </w:pPr>
      <w:r>
        <w:rPr>
          <w:rFonts w:ascii="Arial" w:eastAsia="Arial" w:hAnsi="Arial" w:cs="Arial"/>
          <w:spacing w:val="0"/>
          <w:w w:val="100"/>
          <w:position w:val="0"/>
          <w:sz w:val="30"/>
          <w:szCs w:val="30"/>
          <w:shd w:val="clear" w:color="auto" w:fill="auto"/>
          <w:lang w:val="ru-RU" w:eastAsia="ru-RU" w:bidi="ru-RU"/>
        </w:rPr>
        <w:t>ОСНОВЫ РАДИОБИОЛОГИИ</w:t>
        <w:br/>
        <w:t>И РАДИАЦИОННОЙ МЕДИЦИНЫ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800" w:line="240" w:lineRule="auto"/>
        <w:ind w:left="0" w:right="0" w:firstLine="0"/>
        <w:jc w:val="center"/>
      </w:pPr>
      <w:r>
        <w:rPr>
          <w:b/>
          <w:bCs/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Учебное пособие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6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Подписано в печать 13.03.2012. Гарнитура «Таймс».</w:t>
        <w:br/>
        <w:t xml:space="preserve">Формат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60x90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1/16. Объем 14,5 печ. л. Печать офсетная.</w:t>
        <w:br/>
        <w:t>Тираж 500 экз. Заказ № 27415.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0" w:line="211" w:lineRule="auto"/>
        <w:ind w:left="0" w:right="0" w:firstLine="0"/>
        <w:jc w:val="center"/>
      </w:pPr>
      <w:r>
        <w:rPr>
          <w:b/>
          <w:bCs/>
          <w:spacing w:val="0"/>
          <w:w w:val="100"/>
          <w:position w:val="0"/>
          <w:shd w:val="clear" w:color="auto" w:fill="auto"/>
          <w:lang w:val="ru-RU" w:eastAsia="ru-RU" w:bidi="ru-RU"/>
        </w:rPr>
        <w:t>ООО «Издательство ФОЛИАНТ»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60" w:line="240" w:lineRule="auto"/>
        <w:ind w:left="0" w:right="0" w:firstLine="0"/>
        <w:jc w:val="center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190020, Санкт-Петербург, Нарвский пр., 18, оф. 502</w:t>
        <w:br/>
        <w:t>тел./факс: (812) 325-39-86, 786-72-36</w:t>
        <w:br/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e-mail: </w:t>
      </w:r>
      <w:r>
        <w:fldChar w:fldCharType="begin"/>
      </w:r>
      <w:r>
        <w:rPr/>
        <w:instrText> HYPERLINK "mailto:foliant@peterlink.ru" </w:instrText>
      </w:r>
      <w:r>
        <w:fldChar w:fldCharType="separate"/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foliant@peterlink.ru</w:t>
      </w:r>
      <w:r>
        <w:fldChar w:fldCharType="end"/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br/>
        <w:t>http: //www. foliant. com. ru</w:t>
      </w:r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 w:after="160" w:line="240" w:lineRule="auto"/>
        <w:ind w:left="0" w:right="0" w:firstLine="0"/>
        <w:jc w:val="center"/>
        <w:sectPr>
          <w:footnotePr>
            <w:pos w:val="pageBottom"/>
            <w:numFmt w:val="chicago"/>
            <w:numRestart w:val="continuous"/>
            <w15:footnoteColumns w:val="1"/>
          </w:footnotePr>
          <w:pgSz w:w="7632" w:h="12427"/>
          <w:pgMar w:top="2395" w:right="1008" w:bottom="1115" w:left="1618" w:header="1967" w:footer="687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Отпечатано по технологии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CtP</w:t>
        <w:br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в ОАО «Первая Образцовая типография»,</w:t>
        <w:br/>
        <w:t>обособленное подразделение «Печатный двор».</w:t>
        <w:br/>
        <w:t>197110, Санкт-Петербург, Чкаловский пр., 15.</w:t>
      </w:r>
    </w:p>
    <w:p>
      <w:pPr>
        <w:pStyle w:val="Style15"/>
        <w:keepNext w:val="0"/>
        <w:keepLines w:val="0"/>
        <w:framePr w:w="2578" w:h="907" w:wrap="none" w:hAnchor="page" w:x="1621" w:y="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190020, Санкт-Петербург, Нарвский пр., 18, офис 502.</w:t>
      </w:r>
    </w:p>
    <w:p>
      <w:pPr>
        <w:pStyle w:val="Style15"/>
        <w:keepNext w:val="0"/>
        <w:keepLines w:val="0"/>
        <w:framePr w:w="2578" w:h="907" w:wrap="none" w:hAnchor="page" w:x="1621" w:y="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Тел ./факс (812) 325-39-86; 786-72-36</w:t>
      </w:r>
    </w:p>
    <w:p>
      <w:pPr>
        <w:pStyle w:val="Style15"/>
        <w:keepNext w:val="0"/>
        <w:keepLines w:val="0"/>
        <w:framePr w:w="2578" w:h="907" w:wrap="none" w:hAnchor="page" w:x="1621" w:y="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e-mail: </w:t>
      </w:r>
      <w:r>
        <w:fldChar w:fldCharType="begin"/>
      </w:r>
      <w:r>
        <w:rPr/>
        <w:instrText> HYPERLINK "mailto:foliant@peterlink.ru" </w:instrText>
      </w:r>
      <w:r>
        <w:fldChar w:fldCharType="separate"/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foliant@peterlink.ru</w:t>
      </w:r>
      <w:r>
        <w:fldChar w:fldCharType="end"/>
      </w:r>
    </w:p>
    <w:p>
      <w:pPr>
        <w:pStyle w:val="Style15"/>
        <w:keepNext w:val="0"/>
        <w:keepLines w:val="0"/>
        <w:framePr w:w="2578" w:h="907" w:wrap="none" w:hAnchor="page" w:x="1621" w:y="1"/>
        <w:widowControl w:val="0"/>
        <w:pBdr>
          <w:bottom w:val="single" w:sz="4" w:space="0" w:color="auto"/>
        </w:pBdr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fldChar w:fldCharType="begin"/>
      </w:r>
      <w:r>
        <w:rPr/>
        <w:instrText> HYPERLINK "http://www.foliant.com.ru" </w:instrText>
      </w:r>
      <w:r>
        <w:fldChar w:fldCharType="separate"/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http://www.foliant.com.ru</w:t>
      </w:r>
      <w:r>
        <w:fldChar w:fldCharType="end"/>
      </w:r>
    </w:p>
    <w:p>
      <w:pPr>
        <w:pStyle w:val="Style21"/>
        <w:keepNext w:val="0"/>
        <w:keepLines w:val="0"/>
        <w:framePr w:w="3595" w:h="763" w:wrap="none" w:hAnchor="page" w:x="4223" w:y="111"/>
        <w:widowControl w:val="0"/>
        <w:shd w:val="clear" w:color="auto" w:fill="auto"/>
        <w:bidi w:val="0"/>
        <w:spacing w:before="0" w:after="0" w:line="240" w:lineRule="auto"/>
        <w:ind w:left="1120" w:right="0" w:firstLine="0"/>
        <w:jc w:val="left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ИЗДАТЕЛЬСТВО</w:t>
      </w:r>
    </w:p>
    <w:p>
      <w:pPr>
        <w:pStyle w:val="Style127"/>
        <w:keepNext/>
        <w:keepLines/>
        <w:framePr w:w="3595" w:h="763" w:wrap="none" w:hAnchor="page" w:x="4223" w:y="111"/>
        <w:widowControl w:val="0"/>
        <w:shd w:val="clear" w:color="auto" w:fill="auto"/>
        <w:bidi w:val="0"/>
        <w:spacing w:before="0" w:after="0"/>
        <w:ind w:left="0" w:right="0" w:firstLine="0"/>
        <w:jc w:val="both"/>
      </w:pPr>
      <w:bookmarkStart w:id="196" w:name="bookmark196"/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^)олаан/п</w:t>
      </w:r>
      <w:bookmarkEnd w:id="196"/>
    </w:p>
    <w:p>
      <w:pPr>
        <w:widowControl w:val="0"/>
        <w:spacing w:line="360" w:lineRule="exact"/>
      </w:pPr>
    </w:p>
    <w:p>
      <w:pPr>
        <w:widowControl w:val="0"/>
        <w:spacing w:after="546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037" w:right="544" w:bottom="1312" w:left="1610" w:header="609" w:footer="884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90" w:lineRule="exact"/>
        <w:rPr>
          <w:sz w:val="7"/>
          <w:szCs w:val="7"/>
        </w:rPr>
      </w:pPr>
    </w:p>
    <w:p>
      <w:pPr>
        <w:widowControl w:val="0"/>
        <w:spacing w:line="1" w:lineRule="exact"/>
        <w:sectPr>
          <w:footnotePr>
            <w:pos w:val="pageBottom"/>
            <w:numFmt w:val="chicago"/>
            <w:numRestart w:val="continuous"/>
            <w15:footnoteColumns w:val="1"/>
          </w:footnotePr>
          <w:type w:val="continuous"/>
          <w:pgSz w:w="8400" w:h="11900"/>
          <w:pgMar w:top="1037" w:right="0" w:bottom="1037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57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0" w:right="0" w:firstLine="0"/>
        <w:jc w:val="both"/>
        <w:rPr>
          <w:sz w:val="24"/>
          <w:szCs w:val="24"/>
        </w:rPr>
      </w:pPr>
      <w:r>
        <w:rPr>
          <w:rFonts w:ascii="Arial" w:eastAsia="Arial" w:hAnsi="Arial" w:cs="Arial"/>
          <w:spacing w:val="0"/>
          <w:w w:val="100"/>
          <w:position w:val="0"/>
          <w:sz w:val="24"/>
          <w:szCs w:val="24"/>
          <w:shd w:val="clear" w:color="auto" w:fill="auto"/>
          <w:lang w:val="ru-RU" w:eastAsia="ru-RU" w:bidi="ru-RU"/>
        </w:rPr>
        <w:t>ПРЕДЛАГАЕТ СЛЕДУЮЩИЕ КНИГИ: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26" w:lineRule="auto"/>
        <w:ind w:left="0" w:right="0" w:firstLine="440"/>
        <w:jc w:val="both"/>
        <w:rPr>
          <w:sz w:val="17"/>
          <w:szCs w:val="17"/>
        </w:rPr>
      </w:pP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en-US" w:eastAsia="en-US" w:bidi="en-US"/>
        </w:rPr>
        <w:t xml:space="preserve">J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Верин В. К., Иванов В. В.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Гормоны и их эффекты.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 xml:space="preserve">Справочник. 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>“=*==“ Обл., 136 с., 2011.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0" w:right="0" w:firstLine="440"/>
        <w:jc w:val="both"/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en-US" w:eastAsia="en-US" w:bidi="en-US"/>
        </w:rPr>
        <w:t xml:space="preserve">j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Виленский Б. С., Кузнецов А. Н., Виноградов О. И.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Геморра- * ' “ гические формы инсульта (кровоизлияние в головной мозг, субарахноидальное кровоизлияние).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Справочник.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Обл., 72 с., 2008.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26" w:lineRule="auto"/>
        <w:ind w:left="0" w:right="0" w:firstLine="0"/>
        <w:jc w:val="both"/>
      </w:pPr>
      <w:r>
        <w:drawing>
          <wp:anchor distT="0" distB="0" distL="38100" distR="38100" simplePos="0" relativeHeight="125829444" behindDoc="0" locked="0" layoutInCell="1" allowOverlap="1">
            <wp:simplePos x="0" y="0"/>
            <wp:positionH relativeFrom="page">
              <wp:posOffset>1035050</wp:posOffset>
            </wp:positionH>
            <wp:positionV relativeFrom="paragraph">
              <wp:posOffset>12700</wp:posOffset>
            </wp:positionV>
            <wp:extent cx="298450" cy="225425"/>
            <wp:wrapSquare wrapText="right"/>
            <wp:docPr id="659" name="Shape 65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0" name="Picture box 660"/>
                    <pic:cNvPicPr/>
                  </pic:nvPicPr>
                  <pic:blipFill>
                    <a:blip r:embed="rId606"/>
                    <a:stretch/>
                  </pic:blipFill>
                  <pic:spPr>
                    <a:xfrm>
                      <a:ext cx="298450" cy="22542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Виленский Б. С.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Современная тактика борьбы с инсультом.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Тв. пер., 288 с., 2005.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30" w:lineRule="auto"/>
        <w:ind w:left="0" w:right="0" w:firstLine="440"/>
        <w:jc w:val="both"/>
        <w:rPr>
          <w:sz w:val="17"/>
          <w:szCs w:val="17"/>
        </w:rPr>
      </w:pP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№ Виленский Б. С.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Экстренная неврология.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Справочник.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Тв. пер., “ 432 с., 2009.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06" w:lineRule="auto"/>
        <w:ind w:left="0" w:right="0" w:firstLine="440"/>
        <w:jc w:val="both"/>
        <w:rPr>
          <w:sz w:val="17"/>
          <w:szCs w:val="17"/>
        </w:rPr>
      </w:pP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en-US" w:eastAsia="en-US" w:bidi="en-US"/>
        </w:rPr>
        <w:t xml:space="preserve">jll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Воронцов И. М., Мазурин А. В.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Пропедевтика детских болез- “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vertAlign w:val="superscript"/>
          <w:lang w:val="ru-RU" w:eastAsia="ru-RU" w:bidi="ru-RU"/>
        </w:rPr>
        <w:t>=я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ней.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Изд. 3-е, доп. и перераб.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Тв. пер., 1008 с., ил., 2009.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18" w:lineRule="auto"/>
        <w:ind w:left="640" w:right="0" w:hanging="200"/>
        <w:jc w:val="both"/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en-US" w:eastAsia="en-US" w:bidi="en-US"/>
        </w:rPr>
        <w:t xml:space="preserve">J 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>Г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олофеевский В. Ю.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Введение в клиническую морфологию желудка и двенадцатиперстной кишки.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Учебное пособие для студентов мед. вузов.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Обл., 112 с., 2005.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16" w:lineRule="auto"/>
        <w:ind w:left="640" w:right="0" w:hanging="200"/>
        <w:jc w:val="both"/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en-US" w:eastAsia="en-US" w:bidi="en-US"/>
        </w:rPr>
        <w:t xml:space="preserve">J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Голофеевский В. Ю.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Классификации заболеваний внутренних органов и методики терапевтических исследований.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Учебное пособие.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Тв. пер., 296 с., 2006.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640" w:right="0" w:hanging="200"/>
        <w:jc w:val="both"/>
        <w:rPr>
          <w:sz w:val="17"/>
          <w:szCs w:val="17"/>
        </w:rPr>
      </w:pP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en-US" w:eastAsia="en-US" w:bidi="en-US"/>
        </w:rPr>
        <w:t xml:space="preserve">'ll 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Гонококковая инфекция. Ведение больных. Рекомендации для врачей.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Под ред. Е. В. Соколовского, А. М. Савичевой, В. И. Кисиной, Н. Н. Потекаева, М. Домейки.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Обл., 120 с., ил., 2008.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33" w:lineRule="auto"/>
        <w:ind w:left="640" w:right="0" w:hanging="200"/>
        <w:jc w:val="both"/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en-US" w:eastAsia="en-US" w:bidi="en-US"/>
        </w:rPr>
        <w:t xml:space="preserve">Ji 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>Г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ришкин Ю. Н.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Дифференциальная диагностика аритмий. Ат</w:t>
        <w:softHyphen/>
        <w:t xml:space="preserve">лас электрокардиограмм и внутрисердечных электрограмм с подробными комментариями.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Тв. пер., 488 с., 2009.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26" w:lineRule="auto"/>
        <w:ind w:left="640" w:right="0" w:hanging="20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type w:val="continuous"/>
          <w:pgSz w:w="8400" w:h="11900"/>
          <w:pgMar w:top="1037" w:right="544" w:bottom="1037" w:left="1610" w:header="0" w:footer="3" w:gutter="0"/>
          <w:cols w:space="720"/>
          <w:noEndnote/>
          <w:rtlGutter w:val="0"/>
          <w:docGrid w:linePitch="360"/>
        </w:sectPr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en-US" w:eastAsia="en-US" w:bidi="en-US"/>
        </w:rPr>
        <w:t xml:space="preserve">J 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>Г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ришкин Ю. Н., Журавлева Н. Б.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Основы клинической электро</w:t>
        <w:softHyphen/>
        <w:t xml:space="preserve">кардиографии.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Тв. пер., 160 с., ил., 2008.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160" w:right="0" w:firstLine="20"/>
        <w:jc w:val="both"/>
        <w:rPr>
          <w:sz w:val="17"/>
          <w:szCs w:val="17"/>
        </w:rPr>
      </w:pP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П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Зайцев В. М., Лифляндский В. Г., Маринкин В. И.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Прикладная “ медицинская статистика.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Учебное пособие.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Тв. пер., 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432 </w:t>
      </w:r>
      <w:r>
        <w:rPr>
          <w:rFonts w:ascii="Arial" w:eastAsia="Arial" w:hAnsi="Arial" w:cs="Arial"/>
          <w:b/>
          <w:bCs/>
          <w:color w:val="8A8A8A"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с , 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ип 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>2006.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54" w:lineRule="auto"/>
        <w:ind w:left="560" w:right="0" w:hanging="200"/>
        <w:jc w:val="both"/>
        <w:rPr>
          <w:sz w:val="17"/>
          <w:szCs w:val="17"/>
        </w:rPr>
      </w:pP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11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Зубарев П. Н., Трофимов В. М.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Хирургические болезни пище</w:t>
        <w:softHyphen/>
        <w:t xml:space="preserve">вода и кардии.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Руководство для врачей.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Тв. пер., 208 с., 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ил., 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>2005.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16" w:lineRule="auto"/>
        <w:ind w:left="560" w:right="0" w:hanging="380"/>
        <w:jc w:val="both"/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П Интервенционная радиология в онкологии (пути развития и технологии).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Под ред. акад. А. М. Гранова и акад. М. И. Давы</w:t>
        <w:softHyphen/>
        <w:t>дова.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Тв. пер., 344 с., ил., 2007.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0" w:line="209" w:lineRule="auto"/>
        <w:ind w:left="0" w:right="0" w:firstLine="16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17"/>
          <w:szCs w:val="17"/>
          <w:u w:val="single"/>
          <w:shd w:val="clear" w:color="auto" w:fill="auto"/>
          <w:lang w:val="ru-RU" w:eastAsia="ru-RU" w:bidi="ru-RU"/>
        </w:rPr>
        <w:t>У~Д</w:t>
      </w:r>
      <w:r>
        <w:rPr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| 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Клиническая гематология. Под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ред. чл.-корр. РАМН проф.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71" w:lineRule="auto"/>
        <w:ind w:left="560" w:right="0" w:hanging="5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Г’’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В. И. Мазурова и проф. А. Н. Богданова.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Тв. пер., 488 с., ил., цв. вклейка, 2008.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02" w:lineRule="auto"/>
        <w:ind w:left="560" w:right="0" w:hanging="560"/>
        <w:jc w:val="both"/>
        <w:rPr>
          <w:sz w:val="17"/>
          <w:szCs w:val="17"/>
        </w:rPr>
      </w:pP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u w:val="single"/>
          <w:shd w:val="clear" w:color="auto" w:fill="auto"/>
          <w:lang w:val="ru-RU" w:eastAsia="ru-RU" w:bidi="ru-RU"/>
        </w:rPr>
        <w:t>ГП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Куценко С. А.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Основы токсикологии: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Научно-методическое из</w:t>
        <w:softHyphen/>
        <w:t>дание.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Тв. пер., 720 с., ил., 2004.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560" w:right="0" w:hanging="200"/>
        <w:jc w:val="both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J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Кушаковский М. С.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Аритмии и блокады сердца. Атлас электро</w:t>
        <w:softHyphen/>
        <w:t xml:space="preserve">кардиограмм.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Подред. Ю. Н. Гришкина.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Изд. 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4-е,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перераб. идол. Тв. пер., 360 с., 2012.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09" w:lineRule="auto"/>
        <w:ind w:left="560" w:right="0" w:hanging="380"/>
        <w:jc w:val="both"/>
        <w:rPr>
          <w:sz w:val="17"/>
          <w:szCs w:val="17"/>
        </w:rPr>
      </w:pP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П 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Кожные и венерические болезни.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Под ред. проф. Е. В. Соко</w:t>
        <w:softHyphen/>
        <w:t>ловского. Учебное пособие.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Тв. пер., 488 с., цв. вкладка, 2006.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560" w:right="0" w:hanging="560"/>
        <w:jc w:val="both"/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ГП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Корнишева В. Г., Соколова Г. А., Борисова О. А., Белова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С.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 xml:space="preserve">Г. 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Микозы стоп у больных сахарным диабетом второго типа.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Обл., 232 с., ил., цв. вклейка, 2009.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06" w:lineRule="auto"/>
        <w:ind w:left="560" w:right="0" w:hanging="380"/>
        <w:jc w:val="both"/>
        <w:rPr>
          <w:sz w:val="17"/>
          <w:szCs w:val="17"/>
        </w:rPr>
      </w:pP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en-US" w:eastAsia="en-US" w:bidi="en-US"/>
        </w:rPr>
        <w:t xml:space="preserve">Ij| 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Лекции по нейрохирургии.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Под ред. проф. В. Е. Парфенова, доц. Д. В. Свистова.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Тв. пер., 336 с., 2004.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26" w:lineRule="auto"/>
        <w:ind w:left="420" w:right="0" w:hanging="60"/>
        <w:jc w:val="both"/>
      </w:pP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№ Лобзин Ю. В.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Вирусные гепатиты: клиника, диагностика, лече</w:t>
        <w:softHyphen/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vertAlign w:val="superscript"/>
          <w:lang w:val="ru-RU" w:eastAsia="ru-RU" w:bidi="ru-RU"/>
        </w:rPr>
        <w:t>!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ние.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Тв. пер., 304 с., 2011.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06" w:lineRule="auto"/>
        <w:ind w:left="560" w:right="0" w:hanging="200"/>
        <w:jc w:val="both"/>
        <w:rPr>
          <w:sz w:val="17"/>
          <w:szCs w:val="17"/>
        </w:rPr>
      </w:pP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№ Лобзин Ю. В., Макарова В. Г. и др.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Дисбактериоз кишечника.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Руководство для врачей.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Обл., 256 с., 2006.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57" w:lineRule="auto"/>
        <w:ind w:left="560" w:right="0" w:hanging="560"/>
        <w:jc w:val="both"/>
        <w:rPr>
          <w:sz w:val="17"/>
          <w:szCs w:val="17"/>
        </w:rPr>
      </w:pP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ГП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Лобзин Ю. В., Пилипенко В. В.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Менингиты и энцефалиты. 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>Обл., 128 с., 2006.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560" w:right="0" w:hanging="200"/>
        <w:jc w:val="both"/>
        <w:rPr>
          <w:sz w:val="17"/>
          <w:szCs w:val="17"/>
        </w:rPr>
        <w:sectPr>
          <w:footnotePr>
            <w:pos w:val="pageBottom"/>
            <w:numFmt w:val="chicago"/>
            <w:numRestart w:val="continuous"/>
            <w15:footnoteColumns w:val="1"/>
          </w:footnotePr>
          <w:pgSz w:w="7531" w:h="12264"/>
          <w:pgMar w:top="1272" w:right="509" w:bottom="1272" w:left="763" w:header="844" w:footer="844" w:gutter="0"/>
          <w:cols w:space="720"/>
          <w:noEndnote/>
          <w:rtlGutter w:val="0"/>
          <w:docGrid w:linePitch="360"/>
        </w:sectPr>
      </w:pP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en-US" w:eastAsia="en-US" w:bidi="en-US"/>
        </w:rPr>
        <w:t xml:space="preserve">hl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Лобзин Ю. В., Финогеев Ю. П., Новицкий С. Н.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Лечение инфек</w:t>
        <w:softHyphen/>
        <w:t xml:space="preserve">ционных больных.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Учебное пособие.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Обл., 128 с., 2003.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23" w:lineRule="auto"/>
        <w:ind w:left="0" w:right="0" w:firstLine="360"/>
        <w:jc w:val="both"/>
        <w:rPr>
          <w:sz w:val="17"/>
          <w:szCs w:val="17"/>
        </w:rPr>
      </w:pP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| Избранные вопросы терапии инфекционных больных.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Под * • " ред. проф. Ю. В. Лобзина. Руководство для врачей.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Тв. пер., 912 с., 2005.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06" w:lineRule="auto"/>
        <w:ind w:left="560" w:right="0" w:hanging="200"/>
        <w:jc w:val="both"/>
        <w:rPr>
          <w:sz w:val="17"/>
          <w:szCs w:val="17"/>
        </w:rPr>
      </w:pP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№ Лобзин Ю. В., Юркаев И. М., Финогеев Ю. П.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Инфекционные бо</w:t>
        <w:softHyphen/>
        <w:t xml:space="preserve">лезни с поражением опорно-двигательной системы.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Серия «Актуальные инфекции».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Тв. пер., 320 с., 2006.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04" w:lineRule="auto"/>
        <w:ind w:left="560" w:right="0" w:hanging="200"/>
        <w:jc w:val="both"/>
        <w:rPr>
          <w:sz w:val="17"/>
          <w:szCs w:val="17"/>
        </w:rPr>
      </w:pP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en-US" w:eastAsia="en-US" w:bidi="en-US"/>
        </w:rPr>
        <w:t xml:space="preserve">J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Покровский В. И., Лобзин Ю. В., Волжанин В. М. и др.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Инфекции нервной системы с прогредиентным течением.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Серия «Актуа</w:t>
        <w:softHyphen/>
        <w:t>льные инфекции».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Тв. пер., 256 с., ил., 2007.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04" w:lineRule="auto"/>
        <w:ind w:left="0" w:right="0" w:firstLine="360"/>
        <w:jc w:val="both"/>
        <w:rPr>
          <w:sz w:val="17"/>
          <w:szCs w:val="17"/>
        </w:rPr>
      </w:pP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en-US" w:eastAsia="en-US" w:bidi="en-US"/>
        </w:rPr>
        <w:t xml:space="preserve">J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Финогеев Ю. П., Лобзин Ю. В., Волжанин В. М. и др.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Инфекци- 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vertAlign w:val="superscript"/>
          <w:lang w:val="ru-RU" w:eastAsia="ru-RU" w:bidi="ru-RU"/>
        </w:rPr>
        <w:t>|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>“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vertAlign w:val="superscript"/>
          <w:lang w:val="ru-RU" w:eastAsia="ru-RU" w:bidi="ru-RU"/>
        </w:rPr>
        <w:t>=а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онные болезни с поражением кожи.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Серия «Актуальные инфек</w:t>
        <w:softHyphen/>
        <w:t>ции».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Тв. пер., 240 с., 2003.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30" w:lineRule="auto"/>
        <w:ind w:left="0" w:right="0" w:firstLine="360"/>
        <w:jc w:val="both"/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en-US" w:eastAsia="en-US" w:bidi="en-US"/>
        </w:rPr>
        <w:t xml:space="preserve">h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Лобзин Ю. В., Позняк А. Л., Сидорчук С. Н.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Хламидийные ин- 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vertAlign w:val="superscript"/>
          <w:lang w:val="ru-RU" w:eastAsia="ru-RU" w:bidi="ru-RU"/>
        </w:rPr>
        <w:t>1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--- фекции. Диагностика, клиника, лечение, реабилитация.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Руко</w:t>
        <w:softHyphen/>
        <w:t>водство для врачей.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Тв. пер., 488 с., 2010.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57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]j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Макаров А. Ю.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Клиническая неврология. Избранное.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Изд. 2-е, * * 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111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перераб. и доп. Тв. пер., 280 с., ил., 2011.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0" w:right="0" w:firstLine="360"/>
        <w:jc w:val="both"/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Ц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Маталыгина О. А., Луппова Н. Е.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Всё о питании детей дошко- ■г'*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vertAlign w:val="superscript"/>
          <w:lang w:val="ru-RU" w:eastAsia="ru-RU" w:bidi="ru-RU"/>
        </w:rPr>
        <w:t>-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>'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vertAlign w:val="superscript"/>
          <w:lang w:val="ru-RU" w:eastAsia="ru-RU" w:bidi="ru-RU"/>
        </w:rPr>
        <w:t>1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льного возраста.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Тв. пер., 264 с., 2009.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560" w:right="0" w:hanging="200"/>
        <w:jc w:val="both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J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Михайленко А. А.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История отечественной неврологии. Петер</w:t>
        <w:softHyphen/>
        <w:t xml:space="preserve">бургская неврологическая школа.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Тв. пер., 480 с., ил., 2007.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560" w:right="0" w:hanging="200"/>
        <w:jc w:val="both"/>
      </w:pP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№ Михайленко А. А.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Клиническая неврология (семиотика и топи</w:t>
        <w:softHyphen/>
        <w:t xml:space="preserve">ческая диагностика).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Учебное пособив.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Изд. 2-е, перераб. и доп. Тв. пер., 432 с., ил., 2012.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26" w:lineRule="auto"/>
        <w:ind w:left="560" w:right="0" w:hanging="200"/>
        <w:jc w:val="both"/>
        <w:rPr>
          <w:sz w:val="17"/>
          <w:szCs w:val="17"/>
        </w:rPr>
      </w:pP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en-US" w:eastAsia="en-US" w:bidi="en-US"/>
        </w:rPr>
        <w:t xml:space="preserve">J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Москалев А. В., Сбойчаков В. Б.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Инфекционная иммунология.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Учебное пособие.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Тв. пер., 176 с., 2006.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560" w:right="0" w:hanging="200"/>
        <w:jc w:val="both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J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Нейштадт 3. Л., Маркочев А. Б.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Опухоли и опухолеподобные заболевания костей.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Тв. пер., 344 с., ил., 2007.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560" w:right="0" w:hanging="200"/>
        <w:jc w:val="both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J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Новосельцев С. В.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Введение в остеопатию. Мягкотканные и суставные техники.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 xml:space="preserve">Практическое руководство для врачей.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Изд. 2-е, перераб. и доп. Тв. пер., 320 с., ил., 2009.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0" w:line="221" w:lineRule="auto"/>
        <w:ind w:left="0" w:right="0" w:firstLine="360"/>
        <w:jc w:val="both"/>
        <w:rPr>
          <w:sz w:val="22"/>
          <w:szCs w:val="22"/>
        </w:rPr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Ц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Новосельцев С. В.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Введение в остеопатию. Краниодиагности- “=* ка и техники коррекции.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Практическое руководство для врачей.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59" w:lineRule="auto"/>
        <w:ind w:left="0" w:right="0" w:firstLine="56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066" w:right="705" w:bottom="914" w:left="1417" w:header="638" w:footer="486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Тв. пер., 344 с., ил., 2007.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0" w:right="0" w:firstLine="420"/>
        <w:jc w:val="both"/>
      </w:pP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] Новосельцев С. В.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Введение в остеопатию. Частная ираниаль-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““i 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нал остеопатия.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Практическое руководство для врачей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en-US" w:eastAsia="en-US" w:bidi="en-US"/>
        </w:rPr>
        <w:t xml:space="preserve">lanap,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352 с., ил., 2009.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0" w:right="0" w:firstLine="420"/>
        <w:jc w:val="both"/>
      </w:pP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№ Новосельцев С. В.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Вертебрально-базилярная надостаточ- ■ ' ” ность. Возможности мануальной диагностики и терапии. I а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пер., 208 с., ил., 2007.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33" w:lineRule="auto"/>
        <w:ind w:left="620" w:right="0" w:hanging="200"/>
        <w:jc w:val="both"/>
      </w:pP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№ Новосельцев С. В., Малиновский Е. Л.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Основы консервативно</w:t>
        <w:softHyphen/>
        <w:t>го лечения пациентов с грыжами поясничных межпозвоноч</w:t>
        <w:softHyphen/>
        <w:t xml:space="preserve">ных дисков.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Тв. пер., 272 с., ил., 2011.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26" w:lineRule="auto"/>
        <w:ind w:left="0" w:right="0" w:firstLine="420"/>
        <w:jc w:val="both"/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1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Новик Г. А.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Бронхиальная астма у детей.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 xml:space="preserve">Под ред. И. М. Ворон- 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“““ цоеа.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Тв. пер., 352 с., 2009.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54" w:lineRule="auto"/>
        <w:ind w:left="620" w:right="0" w:hanging="200"/>
        <w:jc w:val="both"/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en-US" w:eastAsia="en-US" w:bidi="en-US"/>
        </w:rPr>
        <w:t xml:space="preserve">Ji 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>Очерки истории российской военно-полевой хирургии в порт</w:t>
        <w:softHyphen/>
        <w:t xml:space="preserve">ретах выдающихся хирургов.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 xml:space="preserve">Подред. проф. Е. К. Гуманенко.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Тв. пер., 344 с., ил., 2006.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30" w:lineRule="auto"/>
        <w:ind w:left="0" w:right="0" w:firstLine="420"/>
        <w:jc w:val="both"/>
        <w:rPr>
          <w:sz w:val="17"/>
          <w:szCs w:val="17"/>
        </w:rPr>
      </w:pP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en-US" w:eastAsia="en-US" w:bidi="en-US"/>
        </w:rPr>
        <w:t xml:space="preserve">Ji 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>Паразитарные болезни человека (протозоозы и гельминто- "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vertAlign w:val="superscript"/>
          <w:lang w:val="ru-RU" w:eastAsia="ru-RU" w:bidi="ru-RU"/>
        </w:rPr>
        <w:t>н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>*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vertAlign w:val="superscript"/>
          <w:lang w:val="ru-RU" w:eastAsia="ru-RU" w:bidi="ru-RU"/>
        </w:rPr>
        <w:t>-4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зы).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Под ред. акад. РАМН В. П. Сергиева, акад. РАМН Ю. В. Лоб- зина, проф. С. С. Козлова.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Изд. 2-е, испр. и доп. Тв. пер., 608 с., ил., цв. вклейка, 2011.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0" w:right="0" w:firstLine="420"/>
        <w:jc w:val="both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Jl 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Практикум для начинающих анестезиологов.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Под ред. проф. " ’ * ю. С. Полушина.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Изд. 2-е, перераб. и доп. Тв. пер., 256 с., ил., 2011.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06" w:lineRule="auto"/>
        <w:ind w:left="0" w:right="0" w:firstLine="240"/>
        <w:jc w:val="both"/>
        <w:rPr>
          <w:sz w:val="17"/>
          <w:szCs w:val="17"/>
        </w:rPr>
      </w:pP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Т~|1 Практикум по общей хирургии.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 xml:space="preserve">Под ред. проф. П. Н. Зубарева.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vertAlign w:val="superscript"/>
          <w:lang w:val="ru-RU" w:eastAsia="ru-RU" w:bidi="ru-RU"/>
        </w:rPr>
        <w:t>в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 xml:space="preserve"> Учебное пособие.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Тв. пер., 240 с., 2004.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26" w:lineRule="auto"/>
        <w:ind w:left="620" w:right="0" w:hanging="380"/>
        <w:jc w:val="both"/>
      </w:pPr>
      <w:r>
        <w:rPr>
          <w:b/>
          <w:bCs/>
          <w:spacing w:val="0"/>
          <w:w w:val="100"/>
          <w:position w:val="0"/>
          <w:sz w:val="18"/>
          <w:szCs w:val="18"/>
          <w:u w:val="single"/>
          <w:shd w:val="clear" w:color="auto" w:fill="auto"/>
          <w:lang w:val="en-US" w:eastAsia="en-US" w:bidi="en-US"/>
        </w:rPr>
        <w:t>JHl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en-US" w:eastAsia="en-US" w:bidi="en-US"/>
        </w:rPr>
        <w:t xml:space="preserve"> 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Практикум по токсикологии и медицинской защите.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Под ред. проф. А. Н. Гребенюка. Учебное пособие.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Тв. пер., 296 с., 2011.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620" w:right="0" w:hanging="200"/>
        <w:jc w:val="both"/>
        <w:rPr>
          <w:sz w:val="17"/>
          <w:szCs w:val="17"/>
        </w:rPr>
      </w:pP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en-US" w:eastAsia="en-US" w:bidi="en-US"/>
        </w:rPr>
        <w:t xml:space="preserve">Jl 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Рентгеновская компьютерная томография.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Под ред. проф. Г. Е. Труфанова и к. м. н. С. Д. Рудя. Руководство для врачей.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Тв. пер., 1216 с., 2008.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80" w:line="223" w:lineRule="auto"/>
        <w:ind w:left="0" w:right="0" w:firstLine="420"/>
        <w:jc w:val="both"/>
        <w:rPr>
          <w:sz w:val="17"/>
          <w:szCs w:val="17"/>
        </w:rPr>
      </w:pP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en-US" w:eastAsia="en-US" w:bidi="en-US"/>
        </w:rPr>
        <w:t xml:space="preserve">Jl 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Руководство по дерматокосметологии.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 xml:space="preserve">Под ред. Е. Р. Аравий- 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“=и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ской и Е. В. Соколовского. Руководство для врачей.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Тв. пер., 632 с., ил., цв. вклейка, 2008.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80" w:line="218" w:lineRule="auto"/>
        <w:ind w:left="0" w:right="0" w:firstLine="42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7022" w:h="12274"/>
          <w:pgMar w:top="1253" w:right="341" w:bottom="1253" w:left="360" w:header="825" w:footer="825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J 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Руководство к практическим занятиям по акушерству и пери- 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vertAlign w:val="superscript"/>
          <w:lang w:val="ru-RU" w:eastAsia="ru-RU" w:bidi="ru-RU"/>
        </w:rPr>
        <w:t>в=4=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“ натологии.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Под ред. проф. Ю. В. Цвелева и д. м. н. В. Г. Абаши</w:t>
        <w:softHyphen/>
        <w:t>на.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Тв. пер., 640 с., ил., 2007.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02" w:lineRule="auto"/>
        <w:ind w:left="0" w:right="0" w:firstLine="0"/>
        <w:jc w:val="both"/>
      </w:pP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u w:val="single"/>
          <w:shd w:val="clear" w:color="auto" w:fill="auto"/>
          <w:lang w:val="en-US" w:eastAsia="en-US" w:bidi="en-US"/>
        </w:rPr>
        <w:t>|ff]|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en-US" w:eastAsia="en-US" w:bidi="en-US"/>
        </w:rPr>
        <w:t xml:space="preserve"> 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Руководство к практическим занятиям по гинекологии.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Под ’ ред. проф. Ю. В. Цвелвва и д. м. н. В. Г. Абашина. Изд. 2-е, испр.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60" w:line="206" w:lineRule="auto"/>
        <w:ind w:left="0" w:right="0" w:firstLine="560"/>
        <w:jc w:val="both"/>
      </w:pP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и доп.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Тв. пер., 424 с., ил., 2007.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60" w:line="228" w:lineRule="auto"/>
        <w:ind w:left="0" w:right="0" w:firstLine="380"/>
        <w:jc w:val="both"/>
        <w:rPr>
          <w:sz w:val="17"/>
          <w:szCs w:val="17"/>
        </w:rPr>
      </w:pP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en-US" w:eastAsia="en-US" w:bidi="en-US"/>
        </w:rPr>
        <w:t xml:space="preserve">Ti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Середа Ю. В.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Электрокардиография в педиатрии.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Учебное по- ■=“ собие для студентов мед. вузов.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Изд. 4-е, перераб. и доп. Обл., 104 с., ил., 2010.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60" w:line="226" w:lineRule="auto"/>
        <w:ind w:left="0" w:right="0" w:firstLine="380"/>
        <w:jc w:val="both"/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1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Симбирцев А. С.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Интерлейкин-1. Физиология. Патология. Кли- “ ’ “ ника.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Тв. пер., 480 с., ил., 2011.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60" w:line="230" w:lineRule="auto"/>
        <w:ind w:left="560" w:right="0" w:hanging="180"/>
        <w:jc w:val="both"/>
      </w:pP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 xml:space="preserve">J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Синенченко Г. И.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Сочетанные осложнения язвы двенадцати</w:t>
        <w:softHyphen/>
        <w:t xml:space="preserve">перстной кишки.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Тв. пер., 192 с., ил., 2007.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60" w:line="206" w:lineRule="auto"/>
        <w:ind w:left="0" w:right="0" w:firstLine="380"/>
        <w:jc w:val="both"/>
        <w:rPr>
          <w:sz w:val="17"/>
          <w:szCs w:val="17"/>
        </w:rPr>
      </w:pP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Ц Травматология и ортопедия. Под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 xml:space="preserve">ред. проф. В. М. Шаповало- 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“=и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ва, проф. А. И. Грицанова, доц. А. Н. Ерохова. Учебник для сту</w:t>
        <w:softHyphen/>
        <w:t>дентов мед. вузов.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Тв. пер., 544 с., ил., 2004.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60" w:line="221" w:lineRule="auto"/>
        <w:ind w:left="560" w:right="0" w:hanging="560"/>
        <w:jc w:val="both"/>
        <w:rPr>
          <w:sz w:val="17"/>
          <w:szCs w:val="17"/>
        </w:rPr>
      </w:pP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u w:val="single"/>
          <w:shd w:val="clear" w:color="auto" w:fill="auto"/>
          <w:lang w:val="ru-RU" w:eastAsia="ru-RU" w:bidi="ru-RU"/>
        </w:rPr>
        <w:t>~Г~Ц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Трезубое В. Н., Мишнвв Л. М., Сапронова О. Н.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Энциклопедия ортопедической стоматологии. 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>Тв. пер., 664 с., ил., 2007.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60" w:line="206" w:lineRule="auto"/>
        <w:ind w:left="560" w:right="0" w:hanging="380"/>
        <w:jc w:val="both"/>
        <w:rPr>
          <w:sz w:val="17"/>
          <w:szCs w:val="17"/>
        </w:rPr>
      </w:pP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en-US" w:eastAsia="en-US" w:bidi="en-US"/>
        </w:rPr>
        <w:t xml:space="preserve">Q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Трезубов В. Н., Щербаков А. С., Мишнев Л. М.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Ортопедическая стоматология (факультетский курс).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Учебник для стом, факу</w:t>
        <w:softHyphen/>
        <w:t>льтетов. Изд. 8-е, перераб. и доп.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Тв. пер., 656 с., 2010.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60" w:line="209" w:lineRule="auto"/>
        <w:ind w:left="0" w:right="0" w:firstLine="380"/>
        <w:jc w:val="both"/>
        <w:rPr>
          <w:sz w:val="17"/>
          <w:szCs w:val="17"/>
        </w:rPr>
      </w:pP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I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ТруханД. И., Викторова И. А., Сафонов А. Д.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Болезни печени.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“=• Учебное пособие.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Тв. пер., 264 с., 2010.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60" w:line="228" w:lineRule="auto"/>
        <w:ind w:left="360" w:right="0" w:firstLine="20"/>
        <w:jc w:val="both"/>
        <w:rPr>
          <w:sz w:val="17"/>
          <w:szCs w:val="17"/>
        </w:rPr>
      </w:pP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Ц Ультразвуковая диагностика.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Под ред. проф. Г. Е. Труфанова " и к. м. н. В. В. Рязанова. Руководство для врачей.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Тв. пер., 800 с., 2009.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60" w:line="226" w:lineRule="auto"/>
        <w:ind w:left="0" w:right="0" w:firstLine="180"/>
        <w:jc w:val="both"/>
        <w:rPr>
          <w:sz w:val="17"/>
          <w:szCs w:val="17"/>
        </w:rPr>
      </w:pP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Т~Ц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Шелепов А. М., Костенко Л. М., Бабенко О. В.</w:t>
      </w:r>
      <w:r>
        <w:rPr>
          <w:rFonts w:ascii="Arial" w:eastAsia="Arial" w:hAnsi="Arial" w:cs="Arial"/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Организация и “"т» тактика медицинской службы. </w:t>
      </w:r>
      <w:r>
        <w:rPr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Учебник.</w:t>
      </w:r>
      <w:r>
        <w:rPr>
          <w:rFonts w:ascii="Arial" w:eastAsia="Arial" w:hAnsi="Arial" w:cs="Arial"/>
          <w:spacing w:val="0"/>
          <w:w w:val="100"/>
          <w:position w:val="0"/>
          <w:sz w:val="17"/>
          <w:szCs w:val="17"/>
          <w:shd w:val="clear" w:color="auto" w:fill="auto"/>
          <w:lang w:val="ru-RU" w:eastAsia="ru-RU" w:bidi="ru-RU"/>
        </w:rPr>
        <w:t xml:space="preserve"> Тв. пер., 504 с., 2005.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60" w:line="240" w:lineRule="auto"/>
        <w:ind w:left="560" w:right="0" w:hanging="180"/>
        <w:jc w:val="both"/>
      </w:pP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en-US" w:eastAsia="en-US" w:bidi="en-US"/>
        </w:rPr>
        <w:t xml:space="preserve">h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Шихвердиев Н. Н., Хубулава Г. Г.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Диагностика и лечение осложнений у больных с искусственными клапанами сердца.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Тв. пер., 264 с., цв. вклейка, 2006.</w:t>
      </w:r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after="160" w:line="230" w:lineRule="auto"/>
        <w:ind w:left="0" w:right="0" w:firstLine="0"/>
        <w:jc w:val="both"/>
        <w:sectPr>
          <w:footnotePr>
            <w:pos w:val="pageBottom"/>
            <w:numFmt w:val="chicago"/>
            <w:numRestart w:val="continuous"/>
            <w15:footnoteColumns w:val="1"/>
          </w:footnotePr>
          <w:pgSz w:w="8400" w:h="11900"/>
          <w:pgMar w:top="1173" w:right="253" w:bottom="1173" w:left="1874" w:header="745" w:footer="745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Д—</w:t>
      </w:r>
      <w:r>
        <w:rPr>
          <w:spacing w:val="0"/>
          <w:w w:val="100"/>
          <w:position w:val="0"/>
          <w:u w:val="single"/>
          <w:shd w:val="clear" w:color="auto" w:fill="auto"/>
          <w:lang w:val="ru-RU" w:eastAsia="ru-RU" w:bidi="ru-RU"/>
        </w:rPr>
        <w:t>Т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~</w:t>
      </w:r>
      <w:r>
        <w:rPr>
          <w:spacing w:val="0"/>
          <w:w w:val="100"/>
          <w:position w:val="0"/>
          <w:u w:val="single"/>
          <w:shd w:val="clear" w:color="auto" w:fill="auto"/>
          <w:lang w:val="ru-RU" w:eastAsia="ru-RU" w:bidi="ru-RU"/>
        </w:rPr>
        <w:t>Д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|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Шустин В. А., Парфенов В. Е., Топтыгин С. В., Труфанов Г. Е., ’ ’ “ Щербук Ю. А.</w:t>
      </w:r>
      <w:r>
        <w:rPr>
          <w:b/>
          <w:bCs/>
          <w:spacing w:val="0"/>
          <w:w w:val="100"/>
          <w:position w:val="0"/>
          <w:sz w:val="18"/>
          <w:szCs w:val="18"/>
          <w:shd w:val="clear" w:color="auto" w:fill="auto"/>
          <w:lang w:val="ru-RU" w:eastAsia="ru-RU" w:bidi="ru-RU"/>
        </w:rPr>
        <w:t xml:space="preserve"> Диагностика и хирургическое лечение невроло</w:t>
        <w:softHyphen/>
        <w:t xml:space="preserve">гических осложнений поясничного остеохондроза.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Тв. пер., 160 с., ил., 2006.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76" w:lineRule="auto"/>
        <w:ind w:left="0" w:right="0" w:firstLine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* При поступлении в организм урана вредные эффекты возможны также за счет токсического воздействия этого химического элемента на почки.</w:t>
      </w:r>
    </w:p>
    <w:sectPr>
      <w:footnotePr>
        <w:pos w:val="pageBottom"/>
        <w:numFmt w:val="chicago"/>
        <w:numRestart w:val="continuous"/>
        <w15:footnoteColumns w:val="1"/>
      </w:footnotePr>
      <w:type w:val="continuous"/>
      <w:pgSz w:w="8400" w:h="11900"/>
      <w:pgMar w:top="1173" w:right="253" w:bottom="1173" w:left="1874" w:header="0" w:footer="3" w:gutter="0"/>
      <w:cols w:space="720"/>
      <w:noEndnote/>
      <w:rtlGutter w:val="0"/>
      <w:docGrid w:linePitch="360"/>
    </w:sectPr>
  </w:body>
</w:document>
</file>

<file path=word/footer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0" behindDoc="1" locked="0" layoutInCell="1" allowOverlap="1">
              <wp:simplePos x="0" y="0"/>
              <wp:positionH relativeFrom="page">
                <wp:posOffset>4591685</wp:posOffset>
              </wp:positionH>
              <wp:positionV relativeFrom="page">
                <wp:posOffset>7223760</wp:posOffset>
              </wp:positionV>
              <wp:extent cx="94615" cy="88265"/>
              <wp:wrapNone/>
              <wp:docPr id="3" name="Shape 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461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4B4B4B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  <w:shd w:val="clear" w:color="auto" w:fill="auto"/>
                              <w:lang w:val="ru-RU" w:eastAsia="ru-RU" w:bidi="ru-RU"/>
                            </w:rPr>
                            <w:t>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9" type="#_x0000_t202" style="position:absolute;margin-left:361.55000000000001pt;margin-top:568.80000000000007pt;width:7.4500000000000002pt;height:6.9500000000000002pt;z-index:-1887440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30"/>
                        <w:szCs w:val="30"/>
                      </w:rPr>
                    </w:pPr>
                    <w:r>
                      <w:rPr>
                        <w:rFonts w:ascii="Arial" w:eastAsia="Arial" w:hAnsi="Arial" w:cs="Arial"/>
                        <w:color w:val="4B4B4B"/>
                        <w:spacing w:val="0"/>
                        <w:w w:val="100"/>
                        <w:position w:val="0"/>
                        <w:sz w:val="30"/>
                        <w:szCs w:val="30"/>
                        <w:shd w:val="clear" w:color="auto" w:fill="auto"/>
                        <w:lang w:val="ru-RU" w:eastAsia="ru-RU" w:bidi="ru-RU"/>
                      </w:rPr>
                      <w:t>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2" behindDoc="1" locked="0" layoutInCell="1" allowOverlap="1">
              <wp:simplePos x="0" y="0"/>
              <wp:positionH relativeFrom="page">
                <wp:posOffset>4591685</wp:posOffset>
              </wp:positionH>
              <wp:positionV relativeFrom="page">
                <wp:posOffset>7223760</wp:posOffset>
              </wp:positionV>
              <wp:extent cx="94615" cy="88265"/>
              <wp:wrapNone/>
              <wp:docPr id="5" name="Shape 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461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4B4B4B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  <w:shd w:val="clear" w:color="auto" w:fill="auto"/>
                              <w:lang w:val="ru-RU" w:eastAsia="ru-RU" w:bidi="ru-RU"/>
                            </w:rPr>
                            <w:t>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1" type="#_x0000_t202" style="position:absolute;margin-left:361.55000000000001pt;margin-top:568.80000000000007pt;width:7.4500000000000002pt;height:6.9500000000000002pt;z-index:-1887440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30"/>
                        <w:szCs w:val="30"/>
                      </w:rPr>
                    </w:pPr>
                    <w:r>
                      <w:rPr>
                        <w:rFonts w:ascii="Arial" w:eastAsia="Arial" w:hAnsi="Arial" w:cs="Arial"/>
                        <w:color w:val="4B4B4B"/>
                        <w:spacing w:val="0"/>
                        <w:w w:val="100"/>
                        <w:position w:val="0"/>
                        <w:sz w:val="30"/>
                        <w:szCs w:val="30"/>
                        <w:shd w:val="clear" w:color="auto" w:fill="auto"/>
                        <w:lang w:val="ru-RU" w:eastAsia="ru-RU" w:bidi="ru-RU"/>
                      </w:rPr>
                      <w:t>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4" behindDoc="1" locked="0" layoutInCell="1" allowOverlap="1">
              <wp:simplePos x="0" y="0"/>
              <wp:positionH relativeFrom="page">
                <wp:posOffset>788035</wp:posOffset>
              </wp:positionH>
              <wp:positionV relativeFrom="page">
                <wp:posOffset>7169150</wp:posOffset>
              </wp:positionV>
              <wp:extent cx="97790" cy="88265"/>
              <wp:wrapNone/>
              <wp:docPr id="7" name="Shape 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779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3" type="#_x0000_t202" style="position:absolute;margin-left:62.050000000000004pt;margin-top:564.5pt;width:7.7000000000000002pt;height:6.9500000000000002pt;z-index:-1887440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6" behindDoc="1" locked="0" layoutInCell="1" allowOverlap="1">
              <wp:simplePos x="0" y="0"/>
              <wp:positionH relativeFrom="page">
                <wp:posOffset>943610</wp:posOffset>
              </wp:positionH>
              <wp:positionV relativeFrom="page">
                <wp:posOffset>7091680</wp:posOffset>
              </wp:positionV>
              <wp:extent cx="198120" cy="94615"/>
              <wp:wrapNone/>
              <wp:docPr id="9" name="Shape 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812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color w:val="4B4B4B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auto"/>
                              <w:lang w:val="ru-RU" w:eastAsia="ru-RU" w:bidi="ru-RU"/>
                            </w:rPr>
                            <w:t>1О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5" type="#_x0000_t202" style="position:absolute;margin-left:74.299999999999997pt;margin-top:558.39999999999998pt;width:15.6pt;height:7.4500000000000002pt;z-index:-1887440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2"/>
                        <w:szCs w:val="22"/>
                      </w:rPr>
                    </w:pPr>
                    <w:r>
                      <w:rPr>
                        <w:color w:val="4B4B4B"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auto"/>
                        <w:lang w:val="ru-RU" w:eastAsia="ru-RU" w:bidi="ru-RU"/>
                      </w:rPr>
                      <w:t>1О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8" behindDoc="1" locked="0" layoutInCell="1" allowOverlap="1">
              <wp:simplePos x="0" y="0"/>
              <wp:positionH relativeFrom="page">
                <wp:posOffset>943610</wp:posOffset>
              </wp:positionH>
              <wp:positionV relativeFrom="page">
                <wp:posOffset>7091680</wp:posOffset>
              </wp:positionV>
              <wp:extent cx="198120" cy="94615"/>
              <wp:wrapNone/>
              <wp:docPr id="11" name="Shape 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812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color w:val="4B4B4B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auto"/>
                              <w:lang w:val="ru-RU" w:eastAsia="ru-RU" w:bidi="ru-RU"/>
                            </w:rPr>
                            <w:t>1О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7" type="#_x0000_t202" style="position:absolute;margin-left:74.299999999999997pt;margin-top:558.39999999999998pt;width:15.6pt;height:7.4500000000000002pt;z-index:-1887440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2"/>
                        <w:szCs w:val="22"/>
                      </w:rPr>
                    </w:pPr>
                    <w:r>
                      <w:rPr>
                        <w:color w:val="4B4B4B"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auto"/>
                        <w:lang w:val="ru-RU" w:eastAsia="ru-RU" w:bidi="ru-RU"/>
                      </w:rPr>
                      <w:t>1О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0" behindDoc="1" locked="0" layoutInCell="1" allowOverlap="1">
              <wp:simplePos x="0" y="0"/>
              <wp:positionH relativeFrom="page">
                <wp:posOffset>4530725</wp:posOffset>
              </wp:positionH>
              <wp:positionV relativeFrom="page">
                <wp:posOffset>7162165</wp:posOffset>
              </wp:positionV>
              <wp:extent cx="164465" cy="91440"/>
              <wp:wrapNone/>
              <wp:docPr id="13" name="Shape 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446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4B4B4B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9" type="#_x0000_t202" style="position:absolute;margin-left:356.75pt;margin-top:563.95000000000005pt;width:12.950000000000001pt;height:7.2000000000000002pt;z-index:-1887440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Arial" w:eastAsia="Arial" w:hAnsi="Arial" w:cs="Arial"/>
                        <w:color w:val="4B4B4B"/>
                        <w:spacing w:val="0"/>
                        <w:w w:val="100"/>
                        <w:position w:val="0"/>
                        <w:sz w:val="19"/>
                        <w:szCs w:val="19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2" behindDoc="1" locked="0" layoutInCell="1" allowOverlap="1">
              <wp:simplePos x="0" y="0"/>
              <wp:positionH relativeFrom="page">
                <wp:posOffset>894715</wp:posOffset>
              </wp:positionH>
              <wp:positionV relativeFrom="page">
                <wp:posOffset>7104380</wp:posOffset>
              </wp:positionV>
              <wp:extent cx="191770" cy="91440"/>
              <wp:wrapNone/>
              <wp:docPr id="15" name="Shape 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177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1" type="#_x0000_t202" style="position:absolute;margin-left:70.450000000000003pt;margin-top:559.39999999999998pt;width:15.1pt;height:7.2000000000000002pt;z-index:-1887440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7" behindDoc="1" locked="0" layoutInCell="1" allowOverlap="1">
              <wp:simplePos x="0" y="0"/>
              <wp:positionH relativeFrom="page">
                <wp:posOffset>4472940</wp:posOffset>
              </wp:positionH>
              <wp:positionV relativeFrom="page">
                <wp:posOffset>7318375</wp:posOffset>
              </wp:positionV>
              <wp:extent cx="186055" cy="91440"/>
              <wp:wrapNone/>
              <wp:docPr id="23" name="Shape 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605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9" type="#_x0000_t202" style="position:absolute;margin-left:352.19999999999999pt;margin-top:576.25pt;width:14.65pt;height:7.2000000000000002pt;z-index:-1887440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9" behindDoc="1" locked="0" layoutInCell="1" allowOverlap="1">
              <wp:simplePos x="0" y="0"/>
              <wp:positionH relativeFrom="page">
                <wp:posOffset>1007110</wp:posOffset>
              </wp:positionH>
              <wp:positionV relativeFrom="page">
                <wp:posOffset>7105650</wp:posOffset>
              </wp:positionV>
              <wp:extent cx="198120" cy="91440"/>
              <wp:wrapNone/>
              <wp:docPr id="25" name="Shape 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812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4B4B4B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1" type="#_x0000_t202" style="position:absolute;margin-left:79.299999999999997pt;margin-top:559.5pt;width:15.6pt;height:7.2000000000000002pt;z-index:-18874404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Arial" w:eastAsia="Arial" w:hAnsi="Arial" w:cs="Arial"/>
                        <w:color w:val="4B4B4B"/>
                        <w:spacing w:val="0"/>
                        <w:w w:val="100"/>
                        <w:position w:val="0"/>
                        <w:sz w:val="19"/>
                        <w:szCs w:val="19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1" behindDoc="1" locked="0" layoutInCell="1" allowOverlap="1">
              <wp:simplePos x="0" y="0"/>
              <wp:positionH relativeFrom="page">
                <wp:posOffset>4530725</wp:posOffset>
              </wp:positionH>
              <wp:positionV relativeFrom="page">
                <wp:posOffset>7162165</wp:posOffset>
              </wp:positionV>
              <wp:extent cx="164465" cy="91440"/>
              <wp:wrapNone/>
              <wp:docPr id="27" name="Shape 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446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4B4B4B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3" type="#_x0000_t202" style="position:absolute;margin-left:356.75pt;margin-top:563.95000000000005pt;width:12.950000000000001pt;height:7.2000000000000002pt;z-index:-18874404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Arial" w:eastAsia="Arial" w:hAnsi="Arial" w:cs="Arial"/>
                        <w:color w:val="4B4B4B"/>
                        <w:spacing w:val="0"/>
                        <w:w w:val="100"/>
                        <w:position w:val="0"/>
                        <w:sz w:val="19"/>
                        <w:szCs w:val="19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3" behindDoc="1" locked="0" layoutInCell="1" allowOverlap="1">
              <wp:simplePos x="0" y="0"/>
              <wp:positionH relativeFrom="page">
                <wp:posOffset>977900</wp:posOffset>
              </wp:positionH>
              <wp:positionV relativeFrom="page">
                <wp:posOffset>7106285</wp:posOffset>
              </wp:positionV>
              <wp:extent cx="194945" cy="91440"/>
              <wp:wrapNone/>
              <wp:docPr id="29" name="Shape 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49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color w:val="4B4B4B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r>
                            <w:rPr>
                              <w:color w:val="4B4B4B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auto"/>
                              <w:lang w:val="en-US" w:eastAsia="en-US" w:bidi="en-US"/>
                            </w:rPr>
                            <w:t>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5" type="#_x0000_t202" style="position:absolute;margin-left:77.pt;margin-top:559.55000000000007pt;width:15.35pt;height:7.2000000000000002pt;z-index:-18874404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2"/>
                        <w:szCs w:val="22"/>
                      </w:rPr>
                    </w:pPr>
                    <w:r>
                      <w:rPr>
                        <w:color w:val="4B4B4B"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r>
                      <w:rPr>
                        <w:color w:val="4B4B4B"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auto"/>
                        <w:lang w:val="en-US" w:eastAsia="en-US" w:bidi="en-US"/>
                      </w:rPr>
                      <w:t>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7" behindDoc="1" locked="0" layoutInCell="1" allowOverlap="1">
              <wp:simplePos x="0" y="0"/>
              <wp:positionH relativeFrom="page">
                <wp:posOffset>1138555</wp:posOffset>
              </wp:positionH>
              <wp:positionV relativeFrom="page">
                <wp:posOffset>7206615</wp:posOffset>
              </wp:positionV>
              <wp:extent cx="216535" cy="91440"/>
              <wp:wrapNone/>
              <wp:docPr id="35" name="Shape 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1" type="#_x0000_t202" style="position:absolute;margin-left:89.650000000000006pt;margin-top:567.45000000000005pt;width:17.050000000000001pt;height:7.2000000000000002pt;z-index:-18874403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9" behindDoc="1" locked="0" layoutInCell="1" allowOverlap="1">
              <wp:simplePos x="0" y="0"/>
              <wp:positionH relativeFrom="page">
                <wp:posOffset>1138555</wp:posOffset>
              </wp:positionH>
              <wp:positionV relativeFrom="page">
                <wp:posOffset>7206615</wp:posOffset>
              </wp:positionV>
              <wp:extent cx="216535" cy="91440"/>
              <wp:wrapNone/>
              <wp:docPr id="37" name="Shape 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3" type="#_x0000_t202" style="position:absolute;margin-left:89.650000000000006pt;margin-top:567.45000000000005pt;width:17.050000000000001pt;height:7.2000000000000002pt;z-index:-18874403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1" behindDoc="1" locked="0" layoutInCell="1" allowOverlap="1">
              <wp:simplePos x="0" y="0"/>
              <wp:positionH relativeFrom="page">
                <wp:posOffset>4472940</wp:posOffset>
              </wp:positionH>
              <wp:positionV relativeFrom="page">
                <wp:posOffset>7318375</wp:posOffset>
              </wp:positionV>
              <wp:extent cx="186055" cy="91440"/>
              <wp:wrapNone/>
              <wp:docPr id="39" name="Shape 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605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5" type="#_x0000_t202" style="position:absolute;margin-left:352.19999999999999pt;margin-top:576.25pt;width:14.65pt;height:7.2000000000000002pt;z-index:-18874403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3" behindDoc="1" locked="0" layoutInCell="1" allowOverlap="1">
              <wp:simplePos x="0" y="0"/>
              <wp:positionH relativeFrom="page">
                <wp:posOffset>4472940</wp:posOffset>
              </wp:positionH>
              <wp:positionV relativeFrom="page">
                <wp:posOffset>7318375</wp:posOffset>
              </wp:positionV>
              <wp:extent cx="186055" cy="91440"/>
              <wp:wrapNone/>
              <wp:docPr id="41" name="Shape 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605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7" type="#_x0000_t202" style="position:absolute;margin-left:352.19999999999999pt;margin-top:576.25pt;width:14.65pt;height:7.2000000000000002pt;z-index:-18874403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5" behindDoc="1" locked="0" layoutInCell="1" allowOverlap="1">
              <wp:simplePos x="0" y="0"/>
              <wp:positionH relativeFrom="page">
                <wp:posOffset>892175</wp:posOffset>
              </wp:positionH>
              <wp:positionV relativeFrom="page">
                <wp:posOffset>7141210</wp:posOffset>
              </wp:positionV>
              <wp:extent cx="213360" cy="91440"/>
              <wp:wrapNone/>
              <wp:docPr id="43" name="Shape 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33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i/>
                              <w:iCs/>
                              <w:color w:val="4B4B4B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auto"/>
                              <w:lang w:val="en-US" w:eastAsia="en-US" w:bidi="en-US"/>
                            </w:rPr>
                            <w:t>2S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9" type="#_x0000_t202" style="position:absolute;margin-left:70.25pt;margin-top:562.30000000000007pt;width:16.800000000000001pt;height:7.2000000000000002pt;z-index:-18874402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2"/>
                        <w:szCs w:val="22"/>
                      </w:rPr>
                    </w:pPr>
                    <w:r>
                      <w:rPr>
                        <w:i/>
                        <w:iCs/>
                        <w:color w:val="4B4B4B"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auto"/>
                        <w:lang w:val="en-US" w:eastAsia="en-US" w:bidi="en-US"/>
                      </w:rPr>
                      <w:t>2S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7" behindDoc="1" locked="0" layoutInCell="1" allowOverlap="1">
              <wp:simplePos x="0" y="0"/>
              <wp:positionH relativeFrom="page">
                <wp:posOffset>892175</wp:posOffset>
              </wp:positionH>
              <wp:positionV relativeFrom="page">
                <wp:posOffset>7141210</wp:posOffset>
              </wp:positionV>
              <wp:extent cx="213360" cy="91440"/>
              <wp:wrapNone/>
              <wp:docPr id="45" name="Shape 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33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i/>
                              <w:iCs/>
                              <w:color w:val="4B4B4B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auto"/>
                              <w:lang w:val="en-US" w:eastAsia="en-US" w:bidi="en-US"/>
                            </w:rPr>
                            <w:t>2S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1" type="#_x0000_t202" style="position:absolute;margin-left:70.25pt;margin-top:562.30000000000007pt;width:16.800000000000001pt;height:7.2000000000000002pt;z-index:-18874402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2"/>
                        <w:szCs w:val="22"/>
                      </w:rPr>
                    </w:pPr>
                    <w:r>
                      <w:rPr>
                        <w:i/>
                        <w:iCs/>
                        <w:color w:val="4B4B4B"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auto"/>
                        <w:lang w:val="en-US" w:eastAsia="en-US" w:bidi="en-US"/>
                      </w:rPr>
                      <w:t>2S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9" behindDoc="1" locked="0" layoutInCell="1" allowOverlap="1">
              <wp:simplePos x="0" y="0"/>
              <wp:positionH relativeFrom="page">
                <wp:posOffset>4472940</wp:posOffset>
              </wp:positionH>
              <wp:positionV relativeFrom="page">
                <wp:posOffset>7318375</wp:posOffset>
              </wp:positionV>
              <wp:extent cx="186055" cy="91440"/>
              <wp:wrapNone/>
              <wp:docPr id="47" name="Shape 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605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3" type="#_x0000_t202" style="position:absolute;margin-left:352.19999999999999pt;margin-top:576.25pt;width:14.65pt;height:7.2000000000000002pt;z-index:-18874402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1" behindDoc="1" locked="0" layoutInCell="1" allowOverlap="1">
              <wp:simplePos x="0" y="0"/>
              <wp:positionH relativeFrom="page">
                <wp:posOffset>1138555</wp:posOffset>
              </wp:positionH>
              <wp:positionV relativeFrom="page">
                <wp:posOffset>7206615</wp:posOffset>
              </wp:positionV>
              <wp:extent cx="216535" cy="91440"/>
              <wp:wrapNone/>
              <wp:docPr id="49" name="Shape 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5" type="#_x0000_t202" style="position:absolute;margin-left:89.650000000000006pt;margin-top:567.45000000000005pt;width:17.050000000000001pt;height:7.2000000000000002pt;z-index:-18874402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3" behindDoc="1" locked="0" layoutInCell="1" allowOverlap="1">
              <wp:simplePos x="0" y="0"/>
              <wp:positionH relativeFrom="page">
                <wp:posOffset>4227830</wp:posOffset>
              </wp:positionH>
              <wp:positionV relativeFrom="page">
                <wp:posOffset>7205345</wp:posOffset>
              </wp:positionV>
              <wp:extent cx="213360" cy="91440"/>
              <wp:wrapNone/>
              <wp:docPr id="51" name="Shape 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33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4B4B4B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shd w:val="clear" w:color="auto" w:fill="auto"/>
                              <w:lang w:val="ru-RU" w:eastAsia="ru-RU" w:bidi="ru-RU"/>
                            </w:rPr>
                            <w:t>□ 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7" type="#_x0000_t202" style="position:absolute;margin-left:332.90000000000003pt;margin-top:567.35000000000002pt;width:16.800000000000001pt;height:7.2000000000000002pt;z-index:-18874402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Arial" w:eastAsia="Arial" w:hAnsi="Arial" w:cs="Arial"/>
                        <w:color w:val="4B4B4B"/>
                        <w:spacing w:val="0"/>
                        <w:w w:val="100"/>
                        <w:position w:val="0"/>
                        <w:sz w:val="19"/>
                        <w:szCs w:val="19"/>
                        <w:shd w:val="clear" w:color="auto" w:fill="auto"/>
                        <w:lang w:val="ru-RU" w:eastAsia="ru-RU" w:bidi="ru-RU"/>
                      </w:rPr>
                      <w:t>□ 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5" behindDoc="1" locked="0" layoutInCell="1" allowOverlap="1">
              <wp:simplePos x="0" y="0"/>
              <wp:positionH relativeFrom="page">
                <wp:posOffset>4227830</wp:posOffset>
              </wp:positionH>
              <wp:positionV relativeFrom="page">
                <wp:posOffset>7205345</wp:posOffset>
              </wp:positionV>
              <wp:extent cx="213360" cy="91440"/>
              <wp:wrapNone/>
              <wp:docPr id="53" name="Shape 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33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4B4B4B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shd w:val="clear" w:color="auto" w:fill="auto"/>
                              <w:lang w:val="ru-RU" w:eastAsia="ru-RU" w:bidi="ru-RU"/>
                            </w:rPr>
                            <w:t>□ 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9" type="#_x0000_t202" style="position:absolute;margin-left:332.90000000000003pt;margin-top:567.35000000000002pt;width:16.800000000000001pt;height:7.2000000000000002pt;z-index:-18874401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Arial" w:eastAsia="Arial" w:hAnsi="Arial" w:cs="Arial"/>
                        <w:color w:val="4B4B4B"/>
                        <w:spacing w:val="0"/>
                        <w:w w:val="100"/>
                        <w:position w:val="0"/>
                        <w:sz w:val="19"/>
                        <w:szCs w:val="19"/>
                        <w:shd w:val="clear" w:color="auto" w:fill="auto"/>
                        <w:lang w:val="ru-RU" w:eastAsia="ru-RU" w:bidi="ru-RU"/>
                      </w:rPr>
                      <w:t>□ 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4" behindDoc="1" locked="0" layoutInCell="1" allowOverlap="1">
              <wp:simplePos x="0" y="0"/>
              <wp:positionH relativeFrom="page">
                <wp:posOffset>1176655</wp:posOffset>
              </wp:positionH>
              <wp:positionV relativeFrom="page">
                <wp:posOffset>7352030</wp:posOffset>
              </wp:positionV>
              <wp:extent cx="216535" cy="91440"/>
              <wp:wrapNone/>
              <wp:docPr id="69" name="Shape 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color w:val="4B4B4B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auto"/>
                              <w:lang w:val="en-US" w:eastAsia="en-US" w:bidi="en-US"/>
                            </w:rPr>
                            <w:t>SS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5" type="#_x0000_t202" style="position:absolute;margin-left:92.650000000000006pt;margin-top:578.89999999999998pt;width:17.050000000000001pt;height:7.2000000000000002pt;z-index:-1887440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2"/>
                        <w:szCs w:val="22"/>
                      </w:rPr>
                    </w:pPr>
                    <w:r>
                      <w:rPr>
                        <w:color w:val="4B4B4B"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auto"/>
                        <w:lang w:val="en-US" w:eastAsia="en-US" w:bidi="en-US"/>
                      </w:rPr>
                      <w:t>SS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6" behindDoc="1" locked="0" layoutInCell="1" allowOverlap="1">
              <wp:simplePos x="0" y="0"/>
              <wp:positionH relativeFrom="page">
                <wp:posOffset>1176655</wp:posOffset>
              </wp:positionH>
              <wp:positionV relativeFrom="page">
                <wp:posOffset>7352030</wp:posOffset>
              </wp:positionV>
              <wp:extent cx="216535" cy="91440"/>
              <wp:wrapNone/>
              <wp:docPr id="71" name="Shape 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color w:val="4B4B4B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auto"/>
                              <w:lang w:val="en-US" w:eastAsia="en-US" w:bidi="en-US"/>
                            </w:rPr>
                            <w:t>SS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7" type="#_x0000_t202" style="position:absolute;margin-left:92.650000000000006pt;margin-top:578.89999999999998pt;width:17.050000000000001pt;height:7.2000000000000002pt;z-index:-1887440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2"/>
                        <w:szCs w:val="22"/>
                      </w:rPr>
                    </w:pPr>
                    <w:r>
                      <w:rPr>
                        <w:color w:val="4B4B4B"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auto"/>
                        <w:lang w:val="en-US" w:eastAsia="en-US" w:bidi="en-US"/>
                      </w:rPr>
                      <w:t>SS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8" behindDoc="1" locked="0" layoutInCell="1" allowOverlap="1">
              <wp:simplePos x="0" y="0"/>
              <wp:positionH relativeFrom="page">
                <wp:posOffset>4227830</wp:posOffset>
              </wp:positionH>
              <wp:positionV relativeFrom="page">
                <wp:posOffset>7345680</wp:posOffset>
              </wp:positionV>
              <wp:extent cx="213360" cy="94615"/>
              <wp:wrapNone/>
              <wp:docPr id="74" name="Shape 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336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4B4B4B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shd w:val="clear" w:color="auto" w:fill="auto"/>
                              <w:lang w:val="en-US" w:eastAsia="en-US" w:bidi="en-US"/>
                            </w:rPr>
                            <w:t>2S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0" type="#_x0000_t202" style="position:absolute;margin-left:332.90000000000003pt;margin-top:578.39999999999998pt;width:16.800000000000001pt;height:7.4500000000000002pt;z-index:-1887440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Arial" w:eastAsia="Arial" w:hAnsi="Arial" w:cs="Arial"/>
                        <w:color w:val="4B4B4B"/>
                        <w:spacing w:val="0"/>
                        <w:w w:val="100"/>
                        <w:position w:val="0"/>
                        <w:sz w:val="19"/>
                        <w:szCs w:val="19"/>
                        <w:shd w:val="clear" w:color="auto" w:fill="auto"/>
                        <w:lang w:val="en-US" w:eastAsia="en-US" w:bidi="en-US"/>
                      </w:rPr>
                      <w:t>2S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0" behindDoc="1" locked="0" layoutInCell="1" allowOverlap="1">
              <wp:simplePos x="0" y="0"/>
              <wp:positionH relativeFrom="page">
                <wp:posOffset>4227830</wp:posOffset>
              </wp:positionH>
              <wp:positionV relativeFrom="page">
                <wp:posOffset>7345680</wp:posOffset>
              </wp:positionV>
              <wp:extent cx="213360" cy="94615"/>
              <wp:wrapNone/>
              <wp:docPr id="76" name="Shape 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336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4B4B4B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shd w:val="clear" w:color="auto" w:fill="auto"/>
                              <w:lang w:val="en-US" w:eastAsia="en-US" w:bidi="en-US"/>
                            </w:rPr>
                            <w:t>2S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2" type="#_x0000_t202" style="position:absolute;margin-left:332.90000000000003pt;margin-top:578.39999999999998pt;width:16.800000000000001pt;height:7.4500000000000002pt;z-index:-1887440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Arial" w:eastAsia="Arial" w:hAnsi="Arial" w:cs="Arial"/>
                        <w:color w:val="4B4B4B"/>
                        <w:spacing w:val="0"/>
                        <w:w w:val="100"/>
                        <w:position w:val="0"/>
                        <w:sz w:val="19"/>
                        <w:szCs w:val="19"/>
                        <w:shd w:val="clear" w:color="auto" w:fill="auto"/>
                        <w:lang w:val="en-US" w:eastAsia="en-US" w:bidi="en-US"/>
                      </w:rPr>
                      <w:t>2S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2" behindDoc="1" locked="0" layoutInCell="1" allowOverlap="1">
              <wp:simplePos x="0" y="0"/>
              <wp:positionH relativeFrom="page">
                <wp:posOffset>4472940</wp:posOffset>
              </wp:positionH>
              <wp:positionV relativeFrom="page">
                <wp:posOffset>7318375</wp:posOffset>
              </wp:positionV>
              <wp:extent cx="186055" cy="91440"/>
              <wp:wrapNone/>
              <wp:docPr id="78" name="Shape 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605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4" type="#_x0000_t202" style="position:absolute;margin-left:352.19999999999999pt;margin-top:576.25pt;width:14.65pt;height:7.2000000000000002pt;z-index:-1887440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4" behindDoc="1" locked="0" layoutInCell="1" allowOverlap="1">
              <wp:simplePos x="0" y="0"/>
              <wp:positionH relativeFrom="page">
                <wp:posOffset>1138555</wp:posOffset>
              </wp:positionH>
              <wp:positionV relativeFrom="page">
                <wp:posOffset>7206615</wp:posOffset>
              </wp:positionV>
              <wp:extent cx="216535" cy="91440"/>
              <wp:wrapNone/>
              <wp:docPr id="80" name="Shape 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6" type="#_x0000_t202" style="position:absolute;margin-left:89.650000000000006pt;margin-top:567.45000000000005pt;width:17.050000000000001pt;height:7.2000000000000002pt;z-index:-1887439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6" behindDoc="1" locked="0" layoutInCell="1" allowOverlap="1">
              <wp:simplePos x="0" y="0"/>
              <wp:positionH relativeFrom="page">
                <wp:posOffset>1181100</wp:posOffset>
              </wp:positionH>
              <wp:positionV relativeFrom="page">
                <wp:posOffset>7120890</wp:posOffset>
              </wp:positionV>
              <wp:extent cx="213360" cy="94615"/>
              <wp:wrapNone/>
              <wp:docPr id="87" name="Shape 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336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3" type="#_x0000_t202" style="position:absolute;margin-left:93.pt;margin-top:560.70000000000005pt;width:16.800000000000001pt;height:7.4500000000000002pt;z-index:-1887439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8" behindDoc="1" locked="0" layoutInCell="1" allowOverlap="1">
              <wp:simplePos x="0" y="0"/>
              <wp:positionH relativeFrom="page">
                <wp:posOffset>1181100</wp:posOffset>
              </wp:positionH>
              <wp:positionV relativeFrom="page">
                <wp:posOffset>7120890</wp:posOffset>
              </wp:positionV>
              <wp:extent cx="213360" cy="94615"/>
              <wp:wrapNone/>
              <wp:docPr id="89" name="Shape 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336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5" type="#_x0000_t202" style="position:absolute;margin-left:93.pt;margin-top:560.70000000000005pt;width:16.800000000000001pt;height:7.4500000000000002pt;z-index:-1887439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0" behindDoc="1" locked="0" layoutInCell="1" allowOverlap="1">
              <wp:simplePos x="0" y="0"/>
              <wp:positionH relativeFrom="page">
                <wp:posOffset>4472940</wp:posOffset>
              </wp:positionH>
              <wp:positionV relativeFrom="page">
                <wp:posOffset>7318375</wp:posOffset>
              </wp:positionV>
              <wp:extent cx="186055" cy="91440"/>
              <wp:wrapNone/>
              <wp:docPr id="91" name="Shape 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605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7" type="#_x0000_t202" style="position:absolute;margin-left:352.19999999999999pt;margin-top:576.25pt;width:14.65pt;height:7.2000000000000002pt;z-index:-1887439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2" behindDoc="1" locked="0" layoutInCell="1" allowOverlap="1">
              <wp:simplePos x="0" y="0"/>
              <wp:positionH relativeFrom="page">
                <wp:posOffset>4472940</wp:posOffset>
              </wp:positionH>
              <wp:positionV relativeFrom="page">
                <wp:posOffset>7318375</wp:posOffset>
              </wp:positionV>
              <wp:extent cx="186055" cy="91440"/>
              <wp:wrapNone/>
              <wp:docPr id="93" name="Shape 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605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9" type="#_x0000_t202" style="position:absolute;margin-left:352.19999999999999pt;margin-top:576.25pt;width:14.65pt;height:7.2000000000000002pt;z-index:-1887439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4" behindDoc="1" locked="0" layoutInCell="1" allowOverlap="1">
              <wp:simplePos x="0" y="0"/>
              <wp:positionH relativeFrom="page">
                <wp:posOffset>1147445</wp:posOffset>
              </wp:positionH>
              <wp:positionV relativeFrom="page">
                <wp:posOffset>7188835</wp:posOffset>
              </wp:positionV>
              <wp:extent cx="216535" cy="91440"/>
              <wp:wrapNone/>
              <wp:docPr id="95" name="Shape 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auto"/>
                              <w:lang w:val="ru-RU" w:eastAsia="ru-RU" w:bidi="ru-RU"/>
                            </w:rPr>
                            <w:t>ЗВ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1" type="#_x0000_t202" style="position:absolute;margin-left:90.350000000000009pt;margin-top:566.05000000000007pt;width:17.050000000000001pt;height:7.2000000000000002pt;z-index:-1887439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auto"/>
                        <w:lang w:val="ru-RU" w:eastAsia="ru-RU" w:bidi="ru-RU"/>
                      </w:rPr>
                      <w:t>ЗВ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6" behindDoc="1" locked="0" layoutInCell="1" allowOverlap="1">
              <wp:simplePos x="0" y="0"/>
              <wp:positionH relativeFrom="page">
                <wp:posOffset>1147445</wp:posOffset>
              </wp:positionH>
              <wp:positionV relativeFrom="page">
                <wp:posOffset>7188835</wp:posOffset>
              </wp:positionV>
              <wp:extent cx="216535" cy="91440"/>
              <wp:wrapNone/>
              <wp:docPr id="97" name="Shape 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auto"/>
                              <w:lang w:val="ru-RU" w:eastAsia="ru-RU" w:bidi="ru-RU"/>
                            </w:rPr>
                            <w:t>ЗВ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3" type="#_x0000_t202" style="position:absolute;margin-left:90.350000000000009pt;margin-top:566.05000000000007pt;width:17.050000000000001pt;height:7.2000000000000002pt;z-index:-1887439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auto"/>
                        <w:lang w:val="ru-RU" w:eastAsia="ru-RU" w:bidi="ru-RU"/>
                      </w:rPr>
                      <w:t>ЗВ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8" behindDoc="1" locked="0" layoutInCell="1" allowOverlap="1">
              <wp:simplePos x="0" y="0"/>
              <wp:positionH relativeFrom="page">
                <wp:posOffset>4672330</wp:posOffset>
              </wp:positionH>
              <wp:positionV relativeFrom="page">
                <wp:posOffset>7181215</wp:posOffset>
              </wp:positionV>
              <wp:extent cx="216535" cy="91440"/>
              <wp:wrapNone/>
              <wp:docPr id="99" name="Shape 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5" type="#_x0000_t202" style="position:absolute;margin-left:367.90000000000003pt;margin-top:565.45000000000005pt;width:17.050000000000001pt;height:7.2000000000000002pt;z-index:-1887439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0" behindDoc="1" locked="0" layoutInCell="1" allowOverlap="1">
              <wp:simplePos x="0" y="0"/>
              <wp:positionH relativeFrom="page">
                <wp:posOffset>4672330</wp:posOffset>
              </wp:positionH>
              <wp:positionV relativeFrom="page">
                <wp:posOffset>7181215</wp:posOffset>
              </wp:positionV>
              <wp:extent cx="216535" cy="91440"/>
              <wp:wrapNone/>
              <wp:docPr id="101" name="Shape 1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7" type="#_x0000_t202" style="position:absolute;margin-left:367.90000000000003pt;margin-top:565.45000000000005pt;width:17.050000000000001pt;height:7.2000000000000002pt;z-index:-1887439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2" behindDoc="1" locked="0" layoutInCell="1" allowOverlap="1">
              <wp:simplePos x="0" y="0"/>
              <wp:positionH relativeFrom="page">
                <wp:posOffset>1138555</wp:posOffset>
              </wp:positionH>
              <wp:positionV relativeFrom="page">
                <wp:posOffset>7206615</wp:posOffset>
              </wp:positionV>
              <wp:extent cx="216535" cy="91440"/>
              <wp:wrapNone/>
              <wp:docPr id="103" name="Shape 1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9" type="#_x0000_t202" style="position:absolute;margin-left:89.650000000000006pt;margin-top:567.45000000000005pt;width:17.050000000000001pt;height:7.2000000000000002pt;z-index:-1887439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4" behindDoc="1" locked="0" layoutInCell="1" allowOverlap="1">
              <wp:simplePos x="0" y="0"/>
              <wp:positionH relativeFrom="page">
                <wp:posOffset>1138555</wp:posOffset>
              </wp:positionH>
              <wp:positionV relativeFrom="page">
                <wp:posOffset>7206615</wp:posOffset>
              </wp:positionV>
              <wp:extent cx="216535" cy="91440"/>
              <wp:wrapNone/>
              <wp:docPr id="105" name="Shape 1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1" type="#_x0000_t202" style="position:absolute;margin-left:89.650000000000006pt;margin-top:567.45000000000005pt;width:17.050000000000001pt;height:7.2000000000000002pt;z-index:-1887439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6" behindDoc="1" locked="0" layoutInCell="1" allowOverlap="1">
              <wp:simplePos x="0" y="0"/>
              <wp:positionH relativeFrom="page">
                <wp:posOffset>4555490</wp:posOffset>
              </wp:positionH>
              <wp:positionV relativeFrom="page">
                <wp:posOffset>7150100</wp:posOffset>
              </wp:positionV>
              <wp:extent cx="186055" cy="88265"/>
              <wp:wrapNone/>
              <wp:docPr id="107" name="Shape 1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605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ги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3" type="#_x0000_t202" style="position:absolute;margin-left:358.69999999999999pt;margin-top:563.pt;width:14.65pt;height:6.9500000000000002pt;z-index:-1887439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ги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8" behindDoc="1" locked="0" layoutInCell="1" allowOverlap="1">
              <wp:simplePos x="0" y="0"/>
              <wp:positionH relativeFrom="page">
                <wp:posOffset>4555490</wp:posOffset>
              </wp:positionH>
              <wp:positionV relativeFrom="page">
                <wp:posOffset>7150100</wp:posOffset>
              </wp:positionV>
              <wp:extent cx="186055" cy="88265"/>
              <wp:wrapNone/>
              <wp:docPr id="109" name="Shape 1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605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ги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5" type="#_x0000_t202" style="position:absolute;margin-left:358.69999999999999pt;margin-top:563.pt;width:14.65pt;height:6.9500000000000002pt;z-index:-1887439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ги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0" behindDoc="1" locked="0" layoutInCell="1" allowOverlap="1">
              <wp:simplePos x="0" y="0"/>
              <wp:positionH relativeFrom="page">
                <wp:posOffset>1042670</wp:posOffset>
              </wp:positionH>
              <wp:positionV relativeFrom="page">
                <wp:posOffset>7096125</wp:posOffset>
              </wp:positionV>
              <wp:extent cx="219710" cy="88265"/>
              <wp:wrapNone/>
              <wp:docPr id="112" name="Shape 1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97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8" type="#_x0000_t202" style="position:absolute;margin-left:82.100000000000009pt;margin-top:558.75pt;width:17.300000000000001pt;height:6.9500000000000002pt;z-index:-1887439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782" behindDoc="1" locked="0" layoutInCell="1" allowOverlap="1">
              <wp:simplePos x="0" y="0"/>
              <wp:positionH relativeFrom="page">
                <wp:posOffset>548640</wp:posOffset>
              </wp:positionH>
              <wp:positionV relativeFrom="page">
                <wp:posOffset>7465060</wp:posOffset>
              </wp:positionV>
              <wp:extent cx="45720" cy="91440"/>
              <wp:wrapNone/>
              <wp:docPr id="114" name="Shape 1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572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widowControl w:val="0"/>
                          </w:pP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0" type="#_x0000_t202" style="position:absolute;margin-left:43.200000000000003pt;margin-top:587.80000000000007pt;width:3.6000000000000001pt;height:7.2000000000000002pt;z-index:-1887439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widowControl w:val="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4" behindDoc="1" locked="0" layoutInCell="1" allowOverlap="1">
              <wp:simplePos x="0" y="0"/>
              <wp:positionH relativeFrom="page">
                <wp:posOffset>1042670</wp:posOffset>
              </wp:positionH>
              <wp:positionV relativeFrom="page">
                <wp:posOffset>7096125</wp:posOffset>
              </wp:positionV>
              <wp:extent cx="219710" cy="88265"/>
              <wp:wrapNone/>
              <wp:docPr id="116" name="Shape 1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97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2" type="#_x0000_t202" style="position:absolute;margin-left:82.100000000000009pt;margin-top:558.75pt;width:17.300000000000001pt;height:6.9500000000000002pt;z-index:-1887439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786" behindDoc="1" locked="0" layoutInCell="1" allowOverlap="1">
              <wp:simplePos x="0" y="0"/>
              <wp:positionH relativeFrom="page">
                <wp:posOffset>548640</wp:posOffset>
              </wp:positionH>
              <wp:positionV relativeFrom="page">
                <wp:posOffset>7465060</wp:posOffset>
              </wp:positionV>
              <wp:extent cx="45720" cy="91440"/>
              <wp:wrapNone/>
              <wp:docPr id="118" name="Shape 1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572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widowControl w:val="0"/>
                          </w:pP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4" type="#_x0000_t202" style="position:absolute;margin-left:43.200000000000003pt;margin-top:587.80000000000007pt;width:3.6000000000000001pt;height:7.2000000000000002pt;z-index:-1887439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widowControl w:val="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8" behindDoc="1" locked="0" layoutInCell="1" allowOverlap="1">
              <wp:simplePos x="0" y="0"/>
              <wp:positionH relativeFrom="page">
                <wp:posOffset>4472940</wp:posOffset>
              </wp:positionH>
              <wp:positionV relativeFrom="page">
                <wp:posOffset>7318375</wp:posOffset>
              </wp:positionV>
              <wp:extent cx="186055" cy="91440"/>
              <wp:wrapNone/>
              <wp:docPr id="120" name="Shape 1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605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6" type="#_x0000_t202" style="position:absolute;margin-left:352.19999999999999pt;margin-top:576.25pt;width:14.65pt;height:7.2000000000000002pt;z-index:-1887439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0" behindDoc="1" locked="0" layoutInCell="1" allowOverlap="1">
              <wp:simplePos x="0" y="0"/>
              <wp:positionH relativeFrom="page">
                <wp:posOffset>4472940</wp:posOffset>
              </wp:positionH>
              <wp:positionV relativeFrom="page">
                <wp:posOffset>7318375</wp:posOffset>
              </wp:positionV>
              <wp:extent cx="186055" cy="91440"/>
              <wp:wrapNone/>
              <wp:docPr id="122" name="Shape 1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605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8" type="#_x0000_t202" style="position:absolute;margin-left:352.19999999999999pt;margin-top:576.25pt;width:14.65pt;height:7.2000000000000002pt;z-index:-1887439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2" behindDoc="1" locked="0" layoutInCell="1" allowOverlap="1">
              <wp:simplePos x="0" y="0"/>
              <wp:positionH relativeFrom="page">
                <wp:posOffset>572770</wp:posOffset>
              </wp:positionH>
              <wp:positionV relativeFrom="page">
                <wp:posOffset>7352665</wp:posOffset>
              </wp:positionV>
              <wp:extent cx="42545" cy="97790"/>
              <wp:wrapNone/>
              <wp:docPr id="124" name="Shape 1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254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widowControl w:val="0"/>
                          </w:pP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0" type="#_x0000_t202" style="position:absolute;margin-left:45.100000000000001pt;margin-top:578.95000000000005pt;width:3.3500000000000001pt;height:7.7000000000000002pt;z-index:-1887439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widowControl w:val="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4" behindDoc="1" locked="0" layoutInCell="1" allowOverlap="1">
              <wp:simplePos x="0" y="0"/>
              <wp:positionH relativeFrom="page">
                <wp:posOffset>572770</wp:posOffset>
              </wp:positionH>
              <wp:positionV relativeFrom="page">
                <wp:posOffset>7352665</wp:posOffset>
              </wp:positionV>
              <wp:extent cx="42545" cy="97790"/>
              <wp:wrapNone/>
              <wp:docPr id="126" name="Shape 1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254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widowControl w:val="0"/>
                          </w:pP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2" type="#_x0000_t202" style="position:absolute;margin-left:45.100000000000001pt;margin-top:578.95000000000005pt;width:3.3500000000000001pt;height:7.7000000000000002pt;z-index:-1887439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widowControl w:val="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6" behindDoc="1" locked="0" layoutInCell="1" allowOverlap="1">
              <wp:simplePos x="0" y="0"/>
              <wp:positionH relativeFrom="page">
                <wp:posOffset>4472940</wp:posOffset>
              </wp:positionH>
              <wp:positionV relativeFrom="page">
                <wp:posOffset>7318375</wp:posOffset>
              </wp:positionV>
              <wp:extent cx="186055" cy="91440"/>
              <wp:wrapNone/>
              <wp:docPr id="128" name="Shape 1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605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4" type="#_x0000_t202" style="position:absolute;margin-left:352.19999999999999pt;margin-top:576.25pt;width:14.65pt;height:7.2000000000000002pt;z-index:-1887439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8" behindDoc="1" locked="0" layoutInCell="1" allowOverlap="1">
              <wp:simplePos x="0" y="0"/>
              <wp:positionH relativeFrom="page">
                <wp:posOffset>1138555</wp:posOffset>
              </wp:positionH>
              <wp:positionV relativeFrom="page">
                <wp:posOffset>7206615</wp:posOffset>
              </wp:positionV>
              <wp:extent cx="216535" cy="91440"/>
              <wp:wrapNone/>
              <wp:docPr id="130" name="Shape 1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6" type="#_x0000_t202" style="position:absolute;margin-left:89.650000000000006pt;margin-top:567.45000000000005pt;width:17.050000000000001pt;height:7.2000000000000002pt;z-index:-1887439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0" behindDoc="1" locked="0" layoutInCell="1" allowOverlap="1">
              <wp:simplePos x="0" y="0"/>
              <wp:positionH relativeFrom="page">
                <wp:posOffset>4472940</wp:posOffset>
              </wp:positionH>
              <wp:positionV relativeFrom="page">
                <wp:posOffset>7318375</wp:posOffset>
              </wp:positionV>
              <wp:extent cx="186055" cy="91440"/>
              <wp:wrapNone/>
              <wp:docPr id="133" name="Shape 1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605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9" type="#_x0000_t202" style="position:absolute;margin-left:352.19999999999999pt;margin-top:576.25pt;width:14.65pt;height:7.2000000000000002pt;z-index:-1887439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2" behindDoc="1" locked="0" layoutInCell="1" allowOverlap="1">
              <wp:simplePos x="0" y="0"/>
              <wp:positionH relativeFrom="page">
                <wp:posOffset>1138555</wp:posOffset>
              </wp:positionH>
              <wp:positionV relativeFrom="page">
                <wp:posOffset>7206615</wp:posOffset>
              </wp:positionV>
              <wp:extent cx="216535" cy="91440"/>
              <wp:wrapNone/>
              <wp:docPr id="135" name="Shape 1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1" type="#_x0000_t202" style="position:absolute;margin-left:89.650000000000006pt;margin-top:567.45000000000005pt;width:17.050000000000001pt;height:7.2000000000000002pt;z-index:-1887439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4" behindDoc="1" locked="0" layoutInCell="1" allowOverlap="1">
              <wp:simplePos x="0" y="0"/>
              <wp:positionH relativeFrom="page">
                <wp:posOffset>1183640</wp:posOffset>
              </wp:positionH>
              <wp:positionV relativeFrom="page">
                <wp:posOffset>7164705</wp:posOffset>
              </wp:positionV>
              <wp:extent cx="216535" cy="88265"/>
              <wp:wrapNone/>
              <wp:docPr id="140" name="Shape 1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5S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6" type="#_x0000_t202" style="position:absolute;margin-left:93.200000000000003pt;margin-top:564.14999999999998pt;width:17.050000000000001pt;height:6.9500000000000002pt;z-index:-1887439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5S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6" behindDoc="1" locked="0" layoutInCell="1" allowOverlap="1">
              <wp:simplePos x="0" y="0"/>
              <wp:positionH relativeFrom="page">
                <wp:posOffset>1183640</wp:posOffset>
              </wp:positionH>
              <wp:positionV relativeFrom="page">
                <wp:posOffset>7164705</wp:posOffset>
              </wp:positionV>
              <wp:extent cx="216535" cy="88265"/>
              <wp:wrapNone/>
              <wp:docPr id="142" name="Shape 1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5S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8" type="#_x0000_t202" style="position:absolute;margin-left:93.200000000000003pt;margin-top:564.14999999999998pt;width:17.050000000000001pt;height:6.9500000000000002pt;z-index:-1887439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5S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8" behindDoc="1" locked="0" layoutInCell="1" allowOverlap="1">
              <wp:simplePos x="0" y="0"/>
              <wp:positionH relativeFrom="page">
                <wp:posOffset>4472940</wp:posOffset>
              </wp:positionH>
              <wp:positionV relativeFrom="page">
                <wp:posOffset>7318375</wp:posOffset>
              </wp:positionV>
              <wp:extent cx="186055" cy="91440"/>
              <wp:wrapNone/>
              <wp:docPr id="144" name="Shape 1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605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0" type="#_x0000_t202" style="position:absolute;margin-left:352.19999999999999pt;margin-top:576.25pt;width:14.65pt;height:7.2000000000000002pt;z-index:-1887439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0" behindDoc="1" locked="0" layoutInCell="1" allowOverlap="1">
              <wp:simplePos x="0" y="0"/>
              <wp:positionH relativeFrom="page">
                <wp:posOffset>1138555</wp:posOffset>
              </wp:positionH>
              <wp:positionV relativeFrom="page">
                <wp:posOffset>7206615</wp:posOffset>
              </wp:positionV>
              <wp:extent cx="216535" cy="91440"/>
              <wp:wrapNone/>
              <wp:docPr id="146" name="Shape 1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2" type="#_x0000_t202" style="position:absolute;margin-left:89.650000000000006pt;margin-top:567.45000000000005pt;width:17.050000000000001pt;height:7.2000000000000002pt;z-index:-1887439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2" behindDoc="1" locked="0" layoutInCell="1" allowOverlap="1">
              <wp:simplePos x="0" y="0"/>
              <wp:positionH relativeFrom="page">
                <wp:posOffset>1243330</wp:posOffset>
              </wp:positionH>
              <wp:positionV relativeFrom="page">
                <wp:posOffset>7392670</wp:posOffset>
              </wp:positionV>
              <wp:extent cx="213360" cy="88265"/>
              <wp:wrapNone/>
              <wp:docPr id="148" name="Shape 1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33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4" type="#_x0000_t202" style="position:absolute;margin-left:97.900000000000006pt;margin-top:582.10000000000002pt;width:16.800000000000001pt;height:6.9500000000000002pt;z-index:-1887439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4" behindDoc="1" locked="0" layoutInCell="1" allowOverlap="1">
              <wp:simplePos x="0" y="0"/>
              <wp:positionH relativeFrom="page">
                <wp:posOffset>1243330</wp:posOffset>
              </wp:positionH>
              <wp:positionV relativeFrom="page">
                <wp:posOffset>7392670</wp:posOffset>
              </wp:positionV>
              <wp:extent cx="213360" cy="88265"/>
              <wp:wrapNone/>
              <wp:docPr id="150" name="Shape 1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33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6" type="#_x0000_t202" style="position:absolute;margin-left:97.900000000000006pt;margin-top:582.10000000000002pt;width:16.800000000000001pt;height:6.9500000000000002pt;z-index:-1887439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6" behindDoc="1" locked="0" layoutInCell="1" allowOverlap="1">
              <wp:simplePos x="0" y="0"/>
              <wp:positionH relativeFrom="page">
                <wp:posOffset>4472940</wp:posOffset>
              </wp:positionH>
              <wp:positionV relativeFrom="page">
                <wp:posOffset>7318375</wp:posOffset>
              </wp:positionV>
              <wp:extent cx="186055" cy="91440"/>
              <wp:wrapNone/>
              <wp:docPr id="152" name="Shape 1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605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8" type="#_x0000_t202" style="position:absolute;margin-left:352.19999999999999pt;margin-top:576.25pt;width:14.65pt;height:7.2000000000000002pt;z-index:-1887439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8" behindDoc="1" locked="0" layoutInCell="1" allowOverlap="1">
              <wp:simplePos x="0" y="0"/>
              <wp:positionH relativeFrom="page">
                <wp:posOffset>4521835</wp:posOffset>
              </wp:positionH>
              <wp:positionV relativeFrom="page">
                <wp:posOffset>7357110</wp:posOffset>
              </wp:positionV>
              <wp:extent cx="210185" cy="91440"/>
              <wp:wrapNone/>
              <wp:docPr id="156" name="Shape 1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01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auto"/>
                              <w:lang w:val="en-US" w:eastAsia="en-US" w:bidi="en-US"/>
                            </w:rPr>
                            <w:t>6S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2" type="#_x0000_t202" style="position:absolute;margin-left:356.05000000000001pt;margin-top:579.30000000000007pt;width:16.550000000000001pt;height:7.2000000000000002pt;z-index:-1887439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2"/>
                        <w:szCs w:val="22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auto"/>
                        <w:lang w:val="en-US" w:eastAsia="en-US" w:bidi="en-US"/>
                      </w:rPr>
                      <w:t>6S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0" behindDoc="1" locked="0" layoutInCell="1" allowOverlap="1">
              <wp:simplePos x="0" y="0"/>
              <wp:positionH relativeFrom="page">
                <wp:posOffset>4472940</wp:posOffset>
              </wp:positionH>
              <wp:positionV relativeFrom="page">
                <wp:posOffset>7318375</wp:posOffset>
              </wp:positionV>
              <wp:extent cx="186055" cy="91440"/>
              <wp:wrapNone/>
              <wp:docPr id="159" name="Shape 1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605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5" type="#_x0000_t202" style="position:absolute;margin-left:352.19999999999999pt;margin-top:576.25pt;width:14.65pt;height:7.2000000000000002pt;z-index:-1887439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2" behindDoc="1" locked="0" layoutInCell="1" allowOverlap="1">
              <wp:simplePos x="0" y="0"/>
              <wp:positionH relativeFrom="page">
                <wp:posOffset>1155065</wp:posOffset>
              </wp:positionH>
              <wp:positionV relativeFrom="page">
                <wp:posOffset>7140575</wp:posOffset>
              </wp:positionV>
              <wp:extent cx="210185" cy="88265"/>
              <wp:wrapNone/>
              <wp:docPr id="161" name="Shape 1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01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7" type="#_x0000_t202" style="position:absolute;margin-left:90.950000000000003pt;margin-top:562.25pt;width:16.550000000000001pt;height:6.9500000000000002pt;z-index:-1887439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4" behindDoc="1" locked="0" layoutInCell="1" allowOverlap="1">
              <wp:simplePos x="0" y="0"/>
              <wp:positionH relativeFrom="page">
                <wp:posOffset>4472940</wp:posOffset>
              </wp:positionH>
              <wp:positionV relativeFrom="page">
                <wp:posOffset>7318375</wp:posOffset>
              </wp:positionV>
              <wp:extent cx="186055" cy="91440"/>
              <wp:wrapNone/>
              <wp:docPr id="175" name="Shape 1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605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fldSimple w:instr=" PAGE \* MERGEFORMAT ">
                            <w:r>
                              <w:rPr>
                                <w:rFonts w:ascii="Arial" w:eastAsia="Arial" w:hAnsi="Arial" w:cs="Arial"/>
                                <w:color w:val="4B4B4B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1" type="#_x0000_t202" style="position:absolute;margin-left:352.19999999999999pt;margin-top:576.25pt;width:14.65pt;height:7.2000000000000002pt;z-index:-1887439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rFonts w:ascii="Arial" w:eastAsia="Arial" w:hAnsi="Arial" w:cs="Arial"/>
                          <w:color w:val="4B4B4B"/>
                          <w:spacing w:val="0"/>
                          <w:w w:val="100"/>
                          <w:position w:val="0"/>
                          <w:sz w:val="19"/>
                          <w:szCs w:val="19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6" behindDoc="1" locked="0" layoutInCell="1" allowOverlap="1">
              <wp:simplePos x="0" y="0"/>
              <wp:positionH relativeFrom="page">
                <wp:posOffset>1092200</wp:posOffset>
              </wp:positionH>
              <wp:positionV relativeFrom="page">
                <wp:posOffset>7160895</wp:posOffset>
              </wp:positionV>
              <wp:extent cx="213360" cy="91440"/>
              <wp:wrapNone/>
              <wp:docPr id="177" name="Shape 1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33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auto"/>
                              <w:lang w:val="ru-RU" w:eastAsia="ru-RU" w:bidi="ru-RU"/>
                            </w:rPr>
                            <w:t>7В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3" type="#_x0000_t202" style="position:absolute;margin-left:86.pt;margin-top:563.85000000000002pt;width:16.800000000000001pt;height:7.2000000000000002pt;z-index:-1887439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2"/>
                        <w:szCs w:val="22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auto"/>
                        <w:lang w:val="ru-RU" w:eastAsia="ru-RU" w:bidi="ru-RU"/>
                      </w:rPr>
                      <w:t>7В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8" behindDoc="1" locked="0" layoutInCell="1" allowOverlap="1">
              <wp:simplePos x="0" y="0"/>
              <wp:positionH relativeFrom="page">
                <wp:posOffset>4568825</wp:posOffset>
              </wp:positionH>
              <wp:positionV relativeFrom="page">
                <wp:posOffset>7327265</wp:posOffset>
              </wp:positionV>
              <wp:extent cx="189230" cy="88265"/>
              <wp:wrapNone/>
              <wp:docPr id="181" name="Shape 1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92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S</w:t>
                          </w: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7" type="#_x0000_t202" style="position:absolute;margin-left:359.75pt;margin-top:576.95000000000005pt;width:14.9pt;height:6.9500000000000002pt;z-index:-1887439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S</w:t>
                    </w: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en-US" w:eastAsia="en-US" w:bidi="en-US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0" behindDoc="1" locked="0" layoutInCell="1" allowOverlap="1">
              <wp:simplePos x="0" y="0"/>
              <wp:positionH relativeFrom="page">
                <wp:posOffset>4568825</wp:posOffset>
              </wp:positionH>
              <wp:positionV relativeFrom="page">
                <wp:posOffset>7327265</wp:posOffset>
              </wp:positionV>
              <wp:extent cx="189230" cy="88265"/>
              <wp:wrapNone/>
              <wp:docPr id="183" name="Shape 1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92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S</w:t>
                          </w: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9" type="#_x0000_t202" style="position:absolute;margin-left:359.75pt;margin-top:576.95000000000005pt;width:14.9pt;height:6.9500000000000002pt;z-index:-1887439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S</w:t>
                    </w: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en-US" w:eastAsia="en-US" w:bidi="en-US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5" behindDoc="1" locked="0" layoutInCell="1" allowOverlap="1">
              <wp:simplePos x="0" y="0"/>
              <wp:positionH relativeFrom="page">
                <wp:posOffset>1155065</wp:posOffset>
              </wp:positionH>
              <wp:positionV relativeFrom="page">
                <wp:posOffset>7140575</wp:posOffset>
              </wp:positionV>
              <wp:extent cx="210185" cy="88265"/>
              <wp:wrapNone/>
              <wp:docPr id="191" name="Shape 1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01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7" type="#_x0000_t202" style="position:absolute;margin-left:90.950000000000003pt;margin-top:562.25pt;width:16.550000000000001pt;height:6.9500000000000002pt;z-index:-18874391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7" behindDoc="1" locked="0" layoutInCell="1" allowOverlap="1">
              <wp:simplePos x="0" y="0"/>
              <wp:positionH relativeFrom="page">
                <wp:posOffset>1155065</wp:posOffset>
              </wp:positionH>
              <wp:positionV relativeFrom="page">
                <wp:posOffset>7140575</wp:posOffset>
              </wp:positionV>
              <wp:extent cx="210185" cy="88265"/>
              <wp:wrapNone/>
              <wp:docPr id="193" name="Shape 1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01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9" type="#_x0000_t202" style="position:absolute;margin-left:90.950000000000003pt;margin-top:562.25pt;width:16.550000000000001pt;height:6.9500000000000002pt;z-index:-18874391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9" behindDoc="1" locked="0" layoutInCell="1" allowOverlap="1">
              <wp:simplePos x="0" y="0"/>
              <wp:positionH relativeFrom="page">
                <wp:posOffset>4568825</wp:posOffset>
              </wp:positionH>
              <wp:positionV relativeFrom="page">
                <wp:posOffset>7327265</wp:posOffset>
              </wp:positionV>
              <wp:extent cx="189230" cy="88265"/>
              <wp:wrapNone/>
              <wp:docPr id="206" name="Shape 2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92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S</w:t>
                          </w: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2" type="#_x0000_t202" style="position:absolute;margin-left:359.75pt;margin-top:576.95000000000005pt;width:14.9pt;height:6.9500000000000002pt;z-index:-18874391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S</w:t>
                    </w: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en-US" w:eastAsia="en-US" w:bidi="en-US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1" behindDoc="1" locked="0" layoutInCell="1" allowOverlap="1">
              <wp:simplePos x="0" y="0"/>
              <wp:positionH relativeFrom="page">
                <wp:posOffset>4568825</wp:posOffset>
              </wp:positionH>
              <wp:positionV relativeFrom="page">
                <wp:posOffset>7327265</wp:posOffset>
              </wp:positionV>
              <wp:extent cx="189230" cy="88265"/>
              <wp:wrapNone/>
              <wp:docPr id="208" name="Shape 2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92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S</w:t>
                          </w: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4" type="#_x0000_t202" style="position:absolute;margin-left:359.75pt;margin-top:576.95000000000005pt;width:14.9pt;height:6.9500000000000002pt;z-index:-18874391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S</w:t>
                    </w: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en-US" w:eastAsia="en-US" w:bidi="en-US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3" behindDoc="1" locked="0" layoutInCell="1" allowOverlap="1">
              <wp:simplePos x="0" y="0"/>
              <wp:positionH relativeFrom="page">
                <wp:posOffset>1237615</wp:posOffset>
              </wp:positionH>
              <wp:positionV relativeFrom="page">
                <wp:posOffset>7178675</wp:posOffset>
              </wp:positionV>
              <wp:extent cx="216535" cy="88265"/>
              <wp:wrapNone/>
              <wp:docPr id="210" name="Shape 2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В4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6" type="#_x0000_t202" style="position:absolute;margin-left:97.450000000000003pt;margin-top:565.25pt;width:17.050000000000001pt;height:6.9500000000000002pt;z-index:-18874391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В4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5" behindDoc="1" locked="0" layoutInCell="1" allowOverlap="1">
              <wp:simplePos x="0" y="0"/>
              <wp:positionH relativeFrom="page">
                <wp:posOffset>1237615</wp:posOffset>
              </wp:positionH>
              <wp:positionV relativeFrom="page">
                <wp:posOffset>7178675</wp:posOffset>
              </wp:positionV>
              <wp:extent cx="216535" cy="88265"/>
              <wp:wrapNone/>
              <wp:docPr id="212" name="Shape 2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В4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8" type="#_x0000_t202" style="position:absolute;margin-left:97.450000000000003pt;margin-top:565.25pt;width:17.050000000000001pt;height:6.9500000000000002pt;z-index:-18874390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В4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7" behindDoc="1" locked="0" layoutInCell="1" allowOverlap="1">
              <wp:simplePos x="0" y="0"/>
              <wp:positionH relativeFrom="page">
                <wp:posOffset>4678680</wp:posOffset>
              </wp:positionH>
              <wp:positionV relativeFrom="page">
                <wp:posOffset>7147560</wp:posOffset>
              </wp:positionV>
              <wp:extent cx="216535" cy="88265"/>
              <wp:wrapNone/>
              <wp:docPr id="214" name="Shape 2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В5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0" type="#_x0000_t202" style="position:absolute;margin-left:368.40000000000003pt;margin-top:562.80000000000007pt;width:17.050000000000001pt;height:6.9500000000000002pt;z-index:-18874390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В5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9" behindDoc="1" locked="0" layoutInCell="1" allowOverlap="1">
              <wp:simplePos x="0" y="0"/>
              <wp:positionH relativeFrom="page">
                <wp:posOffset>4678680</wp:posOffset>
              </wp:positionH>
              <wp:positionV relativeFrom="page">
                <wp:posOffset>7147560</wp:posOffset>
              </wp:positionV>
              <wp:extent cx="216535" cy="88265"/>
              <wp:wrapNone/>
              <wp:docPr id="216" name="Shape 2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В5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2" type="#_x0000_t202" style="position:absolute;margin-left:368.40000000000003pt;margin-top:562.80000000000007pt;width:17.050000000000001pt;height:6.9500000000000002pt;z-index:-18874390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В5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1" behindDoc="1" locked="0" layoutInCell="1" allowOverlap="1">
              <wp:simplePos x="0" y="0"/>
              <wp:positionH relativeFrom="page">
                <wp:posOffset>1171575</wp:posOffset>
              </wp:positionH>
              <wp:positionV relativeFrom="page">
                <wp:posOffset>7118350</wp:posOffset>
              </wp:positionV>
              <wp:extent cx="216535" cy="91440"/>
              <wp:wrapNone/>
              <wp:docPr id="218" name="Shape 2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8В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4" type="#_x0000_t202" style="position:absolute;margin-left:92.25pt;margin-top:560.5pt;width:17.050000000000001pt;height:7.2000000000000002pt;z-index:-18874390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8В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3" behindDoc="1" locked="0" layoutInCell="1" allowOverlap="1">
              <wp:simplePos x="0" y="0"/>
              <wp:positionH relativeFrom="page">
                <wp:posOffset>1171575</wp:posOffset>
              </wp:positionH>
              <wp:positionV relativeFrom="page">
                <wp:posOffset>7118350</wp:posOffset>
              </wp:positionV>
              <wp:extent cx="216535" cy="91440"/>
              <wp:wrapNone/>
              <wp:docPr id="220" name="Shape 2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8В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6" type="#_x0000_t202" style="position:absolute;margin-left:92.25pt;margin-top:560.5pt;width:17.050000000000001pt;height:7.2000000000000002pt;z-index:-18874390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8В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5" behindDoc="1" locked="0" layoutInCell="1" allowOverlap="1">
              <wp:simplePos x="0" y="0"/>
              <wp:positionH relativeFrom="page">
                <wp:posOffset>4547870</wp:posOffset>
              </wp:positionH>
              <wp:positionV relativeFrom="page">
                <wp:posOffset>7121525</wp:posOffset>
              </wp:positionV>
              <wp:extent cx="213360" cy="91440"/>
              <wp:wrapNone/>
              <wp:docPr id="222" name="Shape 2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33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8" type="#_x0000_t202" style="position:absolute;margin-left:358.10000000000002pt;margin-top:560.75pt;width:16.800000000000001pt;height:7.2000000000000002pt;z-index:-18874389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7" behindDoc="1" locked="0" layoutInCell="1" allowOverlap="1">
              <wp:simplePos x="0" y="0"/>
              <wp:positionH relativeFrom="page">
                <wp:posOffset>4547870</wp:posOffset>
              </wp:positionH>
              <wp:positionV relativeFrom="page">
                <wp:posOffset>7121525</wp:posOffset>
              </wp:positionV>
              <wp:extent cx="213360" cy="91440"/>
              <wp:wrapNone/>
              <wp:docPr id="224" name="Shape 2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33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0" type="#_x0000_t202" style="position:absolute;margin-left:358.10000000000002pt;margin-top:560.75pt;width:16.800000000000001pt;height:7.2000000000000002pt;z-index:-18874389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3" behindDoc="1" locked="0" layoutInCell="1" allowOverlap="1">
              <wp:simplePos x="0" y="0"/>
              <wp:positionH relativeFrom="page">
                <wp:posOffset>4503420</wp:posOffset>
              </wp:positionH>
              <wp:positionV relativeFrom="page">
                <wp:posOffset>7403465</wp:posOffset>
              </wp:positionV>
              <wp:extent cx="189230" cy="91440"/>
              <wp:wrapNone/>
              <wp:docPr id="230" name="Shape 2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923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6" type="#_x0000_t202" style="position:absolute;margin-left:354.60000000000002pt;margin-top:582.95000000000005pt;width:14.9pt;height:7.2000000000000002pt;z-index:-18874389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5" behindDoc="1" locked="0" layoutInCell="1" allowOverlap="1">
              <wp:simplePos x="0" y="0"/>
              <wp:positionH relativeFrom="page">
                <wp:posOffset>4503420</wp:posOffset>
              </wp:positionH>
              <wp:positionV relativeFrom="page">
                <wp:posOffset>7403465</wp:posOffset>
              </wp:positionV>
              <wp:extent cx="189230" cy="91440"/>
              <wp:wrapNone/>
              <wp:docPr id="232" name="Shape 2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923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8" type="#_x0000_t202" style="position:absolute;margin-left:354.60000000000002pt;margin-top:582.95000000000005pt;width:14.9pt;height:7.2000000000000002pt;z-index:-18874388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7" behindDoc="1" locked="0" layoutInCell="1" allowOverlap="1">
              <wp:simplePos x="0" y="0"/>
              <wp:positionH relativeFrom="page">
                <wp:posOffset>4495800</wp:posOffset>
              </wp:positionH>
              <wp:positionV relativeFrom="page">
                <wp:posOffset>7312025</wp:posOffset>
              </wp:positionV>
              <wp:extent cx="210185" cy="97790"/>
              <wp:wrapNone/>
              <wp:docPr id="234" name="Shape 2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018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S3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0" type="#_x0000_t202" style="position:absolute;margin-left:354.pt;margin-top:575.75pt;width:16.550000000000001pt;height:7.7000000000000002pt;z-index:-18874388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S3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9" behindDoc="1" locked="0" layoutInCell="1" allowOverlap="1">
              <wp:simplePos x="0" y="0"/>
              <wp:positionH relativeFrom="page">
                <wp:posOffset>4495800</wp:posOffset>
              </wp:positionH>
              <wp:positionV relativeFrom="page">
                <wp:posOffset>7312025</wp:posOffset>
              </wp:positionV>
              <wp:extent cx="210185" cy="97790"/>
              <wp:wrapNone/>
              <wp:docPr id="236" name="Shape 2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018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S3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2" type="#_x0000_t202" style="position:absolute;margin-left:354.pt;margin-top:575.75pt;width:16.550000000000001pt;height:7.7000000000000002pt;z-index:-18874388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S3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1" behindDoc="1" locked="0" layoutInCell="1" allowOverlap="1">
              <wp:simplePos x="0" y="0"/>
              <wp:positionH relativeFrom="page">
                <wp:posOffset>1112520</wp:posOffset>
              </wp:positionH>
              <wp:positionV relativeFrom="page">
                <wp:posOffset>7334885</wp:posOffset>
              </wp:positionV>
              <wp:extent cx="213360" cy="91440"/>
              <wp:wrapNone/>
              <wp:docPr id="238" name="Shape 2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33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auto"/>
                              <w:lang w:val="ru-RU" w:eastAsia="ru-RU" w:bidi="ru-RU"/>
                            </w:rPr>
                            <w:t>□ 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4" type="#_x0000_t202" style="position:absolute;margin-left:87.600000000000009pt;margin-top:577.55000000000007pt;width:16.800000000000001pt;height:7.2000000000000002pt;z-index:-18874388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2"/>
                        <w:szCs w:val="22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auto"/>
                        <w:lang w:val="ru-RU" w:eastAsia="ru-RU" w:bidi="ru-RU"/>
                      </w:rPr>
                      <w:t>□ 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3" behindDoc="1" locked="0" layoutInCell="1" allowOverlap="1">
              <wp:simplePos x="0" y="0"/>
              <wp:positionH relativeFrom="page">
                <wp:posOffset>1109980</wp:posOffset>
              </wp:positionH>
              <wp:positionV relativeFrom="page">
                <wp:posOffset>7334885</wp:posOffset>
              </wp:positionV>
              <wp:extent cx="216535" cy="91440"/>
              <wp:wrapNone/>
              <wp:docPr id="243" name="Shape 2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9" type="#_x0000_t202" style="position:absolute;margin-left:87.400000000000006pt;margin-top:577.55000000000007pt;width:17.050000000000001pt;height:7.2000000000000002pt;z-index:-18874388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5" behindDoc="1" locked="0" layoutInCell="1" allowOverlap="1">
              <wp:simplePos x="0" y="0"/>
              <wp:positionH relativeFrom="page">
                <wp:posOffset>1109980</wp:posOffset>
              </wp:positionH>
              <wp:positionV relativeFrom="page">
                <wp:posOffset>7334885</wp:posOffset>
              </wp:positionV>
              <wp:extent cx="216535" cy="91440"/>
              <wp:wrapNone/>
              <wp:docPr id="245" name="Shape 2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53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1" type="#_x0000_t202" style="position:absolute;margin-left:87.400000000000006pt;margin-top:577.55000000000007pt;width:17.050000000000001pt;height:7.2000000000000002pt;z-index:-18874387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7" behindDoc="1" locked="0" layoutInCell="1" allowOverlap="1">
              <wp:simplePos x="0" y="0"/>
              <wp:positionH relativeFrom="page">
                <wp:posOffset>4503420</wp:posOffset>
              </wp:positionH>
              <wp:positionV relativeFrom="page">
                <wp:posOffset>7403465</wp:posOffset>
              </wp:positionV>
              <wp:extent cx="189230" cy="91440"/>
              <wp:wrapNone/>
              <wp:docPr id="247" name="Shape 2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923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3" type="#_x0000_t202" style="position:absolute;margin-left:354.60000000000002pt;margin-top:582.95000000000005pt;width:14.9pt;height:7.2000000000000002pt;z-index:-18874387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9" behindDoc="1" locked="0" layoutInCell="1" allowOverlap="1">
              <wp:simplePos x="0" y="0"/>
              <wp:positionH relativeFrom="page">
                <wp:posOffset>4503420</wp:posOffset>
              </wp:positionH>
              <wp:positionV relativeFrom="page">
                <wp:posOffset>7403465</wp:posOffset>
              </wp:positionV>
              <wp:extent cx="189230" cy="91440"/>
              <wp:wrapNone/>
              <wp:docPr id="249" name="Shape 2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923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5" type="#_x0000_t202" style="position:absolute;margin-left:354.60000000000002pt;margin-top:582.95000000000005pt;width:14.9pt;height:7.2000000000000002pt;z-index:-18874387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1" behindDoc="1" locked="0" layoutInCell="1" allowOverlap="1">
              <wp:simplePos x="0" y="0"/>
              <wp:positionH relativeFrom="page">
                <wp:posOffset>4065905</wp:posOffset>
              </wp:positionH>
              <wp:positionV relativeFrom="page">
                <wp:posOffset>7342505</wp:posOffset>
              </wp:positionV>
              <wp:extent cx="210185" cy="88265"/>
              <wp:wrapNone/>
              <wp:docPr id="251" name="Shape 2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01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Э7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7" type="#_x0000_t202" style="position:absolute;margin-left:320.15000000000003pt;margin-top:578.14999999999998pt;width:16.550000000000001pt;height:6.9500000000000002pt;z-index:-18874387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Э7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3" behindDoc="1" locked="0" layoutInCell="1" allowOverlap="1">
              <wp:simplePos x="0" y="0"/>
              <wp:positionH relativeFrom="page">
                <wp:posOffset>4503420</wp:posOffset>
              </wp:positionH>
              <wp:positionV relativeFrom="page">
                <wp:posOffset>7403465</wp:posOffset>
              </wp:positionV>
              <wp:extent cx="189230" cy="91440"/>
              <wp:wrapNone/>
              <wp:docPr id="255" name="Shape 2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923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1" type="#_x0000_t202" style="position:absolute;margin-left:354.60000000000002pt;margin-top:582.95000000000005pt;width:14.9pt;height:7.2000000000000002pt;z-index:-18874387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5" behindDoc="1" locked="0" layoutInCell="1" allowOverlap="1">
              <wp:simplePos x="0" y="0"/>
              <wp:positionH relativeFrom="page">
                <wp:posOffset>4503420</wp:posOffset>
              </wp:positionH>
              <wp:positionV relativeFrom="page">
                <wp:posOffset>7403465</wp:posOffset>
              </wp:positionV>
              <wp:extent cx="189230" cy="91440"/>
              <wp:wrapNone/>
              <wp:docPr id="257" name="Shape 2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923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3" type="#_x0000_t202" style="position:absolute;margin-left:354.60000000000002pt;margin-top:582.95000000000005pt;width:14.9pt;height:7.2000000000000002pt;z-index:-18874386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7" behindDoc="1" locked="0" layoutInCell="1" allowOverlap="1">
              <wp:simplePos x="0" y="0"/>
              <wp:positionH relativeFrom="page">
                <wp:posOffset>974090</wp:posOffset>
              </wp:positionH>
              <wp:positionV relativeFrom="page">
                <wp:posOffset>7145020</wp:posOffset>
              </wp:positionV>
              <wp:extent cx="311150" cy="88265"/>
              <wp:wrapNone/>
              <wp:docPr id="259" name="Shape 2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□□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5" type="#_x0000_t202" style="position:absolute;margin-left:76.700000000000003pt;margin-top:562.60000000000002pt;width:24.5pt;height:6.9500000000000002pt;z-index:-18874386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□□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9" behindDoc="1" locked="0" layoutInCell="1" allowOverlap="1">
              <wp:simplePos x="0" y="0"/>
              <wp:positionH relativeFrom="page">
                <wp:posOffset>974090</wp:posOffset>
              </wp:positionH>
              <wp:positionV relativeFrom="page">
                <wp:posOffset>7145020</wp:posOffset>
              </wp:positionV>
              <wp:extent cx="311150" cy="88265"/>
              <wp:wrapNone/>
              <wp:docPr id="261" name="Shape 2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□□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7" type="#_x0000_t202" style="position:absolute;margin-left:76.700000000000003pt;margin-top:562.60000000000002pt;width:24.5pt;height:6.9500000000000002pt;z-index:-18874386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□□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1" behindDoc="1" locked="0" layoutInCell="1" allowOverlap="1">
              <wp:simplePos x="0" y="0"/>
              <wp:positionH relativeFrom="page">
                <wp:posOffset>3901440</wp:posOffset>
              </wp:positionH>
              <wp:positionV relativeFrom="page">
                <wp:posOffset>7330440</wp:posOffset>
              </wp:positionV>
              <wp:extent cx="286385" cy="88265"/>
              <wp:wrapNone/>
              <wp:docPr id="263" name="Shape 2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6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СИ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9" type="#_x0000_t202" style="position:absolute;margin-left:307.19999999999999pt;margin-top:577.20000000000005pt;width:22.550000000000001pt;height:6.9500000000000002pt;z-index:-18874386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СИ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3" behindDoc="1" locked="0" layoutInCell="1" allowOverlap="1">
              <wp:simplePos x="0" y="0"/>
              <wp:positionH relativeFrom="page">
                <wp:posOffset>3901440</wp:posOffset>
              </wp:positionH>
              <wp:positionV relativeFrom="page">
                <wp:posOffset>7330440</wp:posOffset>
              </wp:positionV>
              <wp:extent cx="286385" cy="88265"/>
              <wp:wrapNone/>
              <wp:docPr id="265" name="Shape 2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6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СИ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1" type="#_x0000_t202" style="position:absolute;margin-left:307.19999999999999pt;margin-top:577.20000000000005pt;width:22.550000000000001pt;height:6.9500000000000002pt;z-index:-18874386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СИ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5" behindDoc="1" locked="0" layoutInCell="1" allowOverlap="1">
              <wp:simplePos x="0" y="0"/>
              <wp:positionH relativeFrom="page">
                <wp:posOffset>1086485</wp:posOffset>
              </wp:positionH>
              <wp:positionV relativeFrom="page">
                <wp:posOffset>7104380</wp:posOffset>
              </wp:positionV>
              <wp:extent cx="316865" cy="94615"/>
              <wp:wrapNone/>
              <wp:docPr id="267" name="Shape 2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686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2"/>
                              <w:szCs w:val="22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3" type="#_x0000_t202" style="position:absolute;margin-left:85.549999999999997pt;margin-top:559.39999999999998pt;width:24.949999999999999pt;height:7.4500000000000002pt;z-index:-18874385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2"/>
                        <w:szCs w:val="22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2"/>
                          <w:szCs w:val="22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7" behindDoc="1" locked="0" layoutInCell="1" allowOverlap="1">
              <wp:simplePos x="0" y="0"/>
              <wp:positionH relativeFrom="page">
                <wp:posOffset>1086485</wp:posOffset>
              </wp:positionH>
              <wp:positionV relativeFrom="page">
                <wp:posOffset>7104380</wp:posOffset>
              </wp:positionV>
              <wp:extent cx="316865" cy="94615"/>
              <wp:wrapNone/>
              <wp:docPr id="269" name="Shape 2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686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2"/>
                              <w:szCs w:val="22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5" type="#_x0000_t202" style="position:absolute;margin-left:85.549999999999997pt;margin-top:559.39999999999998pt;width:24.949999999999999pt;height:7.4500000000000002pt;z-index:-18874385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2"/>
                        <w:szCs w:val="22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2"/>
                          <w:szCs w:val="22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9" behindDoc="1" locked="0" layoutInCell="1" allowOverlap="1">
              <wp:simplePos x="0" y="0"/>
              <wp:positionH relativeFrom="page">
                <wp:posOffset>4072255</wp:posOffset>
              </wp:positionH>
              <wp:positionV relativeFrom="page">
                <wp:posOffset>7312660</wp:posOffset>
              </wp:positionV>
              <wp:extent cx="313690" cy="94615"/>
              <wp:wrapNone/>
              <wp:docPr id="271" name="Shape 2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7" type="#_x0000_t202" style="position:absolute;margin-left:320.65000000000003pt;margin-top:575.80000000000007pt;width:24.699999999999999pt;height:7.4500000000000002pt;z-index:-18874385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1" behindDoc="1" locked="0" layoutInCell="1" allowOverlap="1">
              <wp:simplePos x="0" y="0"/>
              <wp:positionH relativeFrom="page">
                <wp:posOffset>1129030</wp:posOffset>
              </wp:positionH>
              <wp:positionV relativeFrom="page">
                <wp:posOffset>7099300</wp:posOffset>
              </wp:positionV>
              <wp:extent cx="311150" cy="94615"/>
              <wp:wrapNone/>
              <wp:docPr id="273" name="Shape 2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fldSimple w:instr=" PAGE \* MERGEFORMAT ">
                            <w:r>
                              <w:rPr>
                                <w:b/>
                                <w:bCs/>
                                <w:i/>
                                <w:iCs/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9" type="#_x0000_t202" style="position:absolute;margin-left:88.900000000000006pt;margin-top:559.pt;width:24.5pt;height:7.4500000000000002pt;z-index:-18874385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fldSimple w:instr=" PAGE \* MERGEFORMAT ">
                      <w:r>
                        <w:rPr>
                          <w:b/>
                          <w:bCs/>
                          <w:i/>
                          <w:iCs/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3" behindDoc="1" locked="0" layoutInCell="1" allowOverlap="1">
              <wp:simplePos x="0" y="0"/>
              <wp:positionH relativeFrom="page">
                <wp:posOffset>4532630</wp:posOffset>
              </wp:positionH>
              <wp:positionV relativeFrom="page">
                <wp:posOffset>7037070</wp:posOffset>
              </wp:positionV>
              <wp:extent cx="311150" cy="91440"/>
              <wp:wrapNone/>
              <wp:docPr id="275" name="Shape 2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□□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1" type="#_x0000_t202" style="position:absolute;margin-left:356.90000000000003pt;margin-top:554.10000000000002pt;width:24.5pt;height:7.2000000000000002pt;z-index:-18874385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□□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5" behindDoc="1" locked="0" layoutInCell="1" allowOverlap="1">
              <wp:simplePos x="0" y="0"/>
              <wp:positionH relativeFrom="page">
                <wp:posOffset>4532630</wp:posOffset>
              </wp:positionH>
              <wp:positionV relativeFrom="page">
                <wp:posOffset>7037070</wp:posOffset>
              </wp:positionV>
              <wp:extent cx="311150" cy="91440"/>
              <wp:wrapNone/>
              <wp:docPr id="277" name="Shape 2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□□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3" type="#_x0000_t202" style="position:absolute;margin-left:356.90000000000003pt;margin-top:554.10000000000002pt;width:24.5pt;height:7.2000000000000002pt;z-index:-18874384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□□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7" behindDoc="1" locked="0" layoutInCell="1" allowOverlap="1">
              <wp:simplePos x="0" y="0"/>
              <wp:positionH relativeFrom="page">
                <wp:posOffset>930910</wp:posOffset>
              </wp:positionH>
              <wp:positionV relativeFrom="page">
                <wp:posOffset>7053580</wp:posOffset>
              </wp:positionV>
              <wp:extent cx="313690" cy="91440"/>
              <wp:wrapNone/>
              <wp:docPr id="279" name="Shape 2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ОВ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5" type="#_x0000_t202" style="position:absolute;margin-left:73.299999999999997pt;margin-top:555.39999999999998pt;width:24.699999999999999pt;height:7.2000000000000002pt;z-index:-1887438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ОВ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9" behindDoc="1" locked="0" layoutInCell="1" allowOverlap="1">
              <wp:simplePos x="0" y="0"/>
              <wp:positionH relativeFrom="page">
                <wp:posOffset>971550</wp:posOffset>
              </wp:positionH>
              <wp:positionV relativeFrom="page">
                <wp:posOffset>7074535</wp:posOffset>
              </wp:positionV>
              <wp:extent cx="313690" cy="91440"/>
              <wp:wrapNone/>
              <wp:docPr id="281" name="Shape 2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ЛЮ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7" type="#_x0000_t202" style="position:absolute;margin-left:76.5pt;margin-top:557.05000000000007pt;width:24.699999999999999pt;height:7.2000000000000002pt;z-index:-18874384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ЛЮ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1" behindDoc="1" locked="0" layoutInCell="1" allowOverlap="1">
              <wp:simplePos x="0" y="0"/>
              <wp:positionH relativeFrom="page">
                <wp:posOffset>971550</wp:posOffset>
              </wp:positionH>
              <wp:positionV relativeFrom="page">
                <wp:posOffset>7074535</wp:posOffset>
              </wp:positionV>
              <wp:extent cx="313690" cy="91440"/>
              <wp:wrapNone/>
              <wp:docPr id="283" name="Shape 2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ЛЮ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9" type="#_x0000_t202" style="position:absolute;margin-left:76.5pt;margin-top:557.05000000000007pt;width:24.699999999999999pt;height:7.2000000000000002pt;z-index:-18874384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ЛЮ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3" behindDoc="1" locked="0" layoutInCell="1" allowOverlap="1">
              <wp:simplePos x="0" y="0"/>
              <wp:positionH relativeFrom="page">
                <wp:posOffset>4364990</wp:posOffset>
              </wp:positionH>
              <wp:positionV relativeFrom="page">
                <wp:posOffset>7101205</wp:posOffset>
              </wp:positionV>
              <wp:extent cx="313690" cy="91440"/>
              <wp:wrapNone/>
              <wp:docPr id="285" name="Shape 2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1" type="#_x0000_t202" style="position:absolute;margin-left:343.69999999999999pt;margin-top:559.14999999999998pt;width:24.699999999999999pt;height:7.2000000000000002pt;z-index:-18874384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5" behindDoc="1" locked="0" layoutInCell="1" allowOverlap="1">
              <wp:simplePos x="0" y="0"/>
              <wp:positionH relativeFrom="page">
                <wp:posOffset>4364990</wp:posOffset>
              </wp:positionH>
              <wp:positionV relativeFrom="page">
                <wp:posOffset>7101205</wp:posOffset>
              </wp:positionV>
              <wp:extent cx="313690" cy="91440"/>
              <wp:wrapNone/>
              <wp:docPr id="287" name="Shape 2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3" type="#_x0000_t202" style="position:absolute;margin-left:343.69999999999999pt;margin-top:559.14999999999998pt;width:24.699999999999999pt;height:7.2000000000000002pt;z-index:-18874383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1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1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7" behindDoc="1" locked="0" layoutInCell="1" allowOverlap="1">
              <wp:simplePos x="0" y="0"/>
              <wp:positionH relativeFrom="page">
                <wp:posOffset>4364990</wp:posOffset>
              </wp:positionH>
              <wp:positionV relativeFrom="page">
                <wp:posOffset>7101205</wp:posOffset>
              </wp:positionV>
              <wp:extent cx="313690" cy="91440"/>
              <wp:wrapNone/>
              <wp:docPr id="289" name="Shape 2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5" type="#_x0000_t202" style="position:absolute;margin-left:343.69999999999999pt;margin-top:559.14999999999998pt;width:24.699999999999999pt;height:7.2000000000000002pt;z-index:-18874383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9" behindDoc="1" locked="0" layoutInCell="1" allowOverlap="1">
              <wp:simplePos x="0" y="0"/>
              <wp:positionH relativeFrom="page">
                <wp:posOffset>4364990</wp:posOffset>
              </wp:positionH>
              <wp:positionV relativeFrom="page">
                <wp:posOffset>7101205</wp:posOffset>
              </wp:positionV>
              <wp:extent cx="313690" cy="91440"/>
              <wp:wrapNone/>
              <wp:docPr id="291" name="Shape 2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7" type="#_x0000_t202" style="position:absolute;margin-left:343.69999999999999pt;margin-top:559.14999999999998pt;width:24.699999999999999pt;height:7.2000000000000002pt;z-index:-18874383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1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1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1" behindDoc="1" locked="0" layoutInCell="1" allowOverlap="1">
              <wp:simplePos x="0" y="0"/>
              <wp:positionH relativeFrom="page">
                <wp:posOffset>4014470</wp:posOffset>
              </wp:positionH>
              <wp:positionV relativeFrom="page">
                <wp:posOffset>7299960</wp:posOffset>
              </wp:positionV>
              <wp:extent cx="313690" cy="91440"/>
              <wp:wrapNone/>
              <wp:docPr id="293" name="Shape 2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113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9" type="#_x0000_t202" style="position:absolute;margin-left:316.10000000000002pt;margin-top:574.80000000000007pt;width:24.699999999999999pt;height:7.2000000000000002pt;z-index:-18874383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113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3" behindDoc="1" locked="0" layoutInCell="1" allowOverlap="1">
              <wp:simplePos x="0" y="0"/>
              <wp:positionH relativeFrom="page">
                <wp:posOffset>4014470</wp:posOffset>
              </wp:positionH>
              <wp:positionV relativeFrom="page">
                <wp:posOffset>7299960</wp:posOffset>
              </wp:positionV>
              <wp:extent cx="313690" cy="91440"/>
              <wp:wrapNone/>
              <wp:docPr id="295" name="Shape 2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113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1" type="#_x0000_t202" style="position:absolute;margin-left:316.10000000000002pt;margin-top:574.80000000000007pt;width:24.699999999999999pt;height:7.2000000000000002pt;z-index:-18874383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113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5" behindDoc="1" locked="0" layoutInCell="1" allowOverlap="1">
              <wp:simplePos x="0" y="0"/>
              <wp:positionH relativeFrom="page">
                <wp:posOffset>1069975</wp:posOffset>
              </wp:positionH>
              <wp:positionV relativeFrom="page">
                <wp:posOffset>7256780</wp:posOffset>
              </wp:positionV>
              <wp:extent cx="316865" cy="91440"/>
              <wp:wrapNone/>
              <wp:docPr id="299" name="Shape 2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686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auto"/>
                              <w:lang w:val="ru-RU" w:eastAsia="ru-RU" w:bidi="ru-RU"/>
                            </w:rPr>
                            <w:t>118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5" type="#_x0000_t202" style="position:absolute;margin-left:84.25pt;margin-top:571.39999999999998pt;width:24.949999999999999pt;height:7.2000000000000002pt;z-index:-18874382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auto"/>
                        <w:lang w:val="ru-RU" w:eastAsia="ru-RU" w:bidi="ru-RU"/>
                      </w:rPr>
                      <w:t>118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7" behindDoc="1" locked="0" layoutInCell="1" allowOverlap="1">
              <wp:simplePos x="0" y="0"/>
              <wp:positionH relativeFrom="page">
                <wp:posOffset>3943985</wp:posOffset>
              </wp:positionH>
              <wp:positionV relativeFrom="page">
                <wp:posOffset>7491095</wp:posOffset>
              </wp:positionV>
              <wp:extent cx="307975" cy="94615"/>
              <wp:wrapNone/>
              <wp:docPr id="301" name="Shape 3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797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119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7" type="#_x0000_t202" style="position:absolute;margin-left:310.55000000000001pt;margin-top:589.85000000000002pt;width:24.25pt;height:7.4500000000000002pt;z-index:-18874382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119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9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7226935</wp:posOffset>
              </wp:positionV>
              <wp:extent cx="311150" cy="91440"/>
              <wp:wrapNone/>
              <wp:docPr id="311" name="Shape 3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auto"/>
                              <w:lang w:val="ru-RU" w:eastAsia="ru-RU" w:bidi="ru-RU"/>
                            </w:rPr>
                            <w:t>11В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7" type="#_x0000_t202" style="position:absolute;margin-left:98.75pt;margin-top:569.05000000000007pt;width:24.5pt;height:7.2000000000000002pt;z-index:-18874382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2"/>
                        <w:szCs w:val="22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auto"/>
                        <w:lang w:val="ru-RU" w:eastAsia="ru-RU" w:bidi="ru-RU"/>
                      </w:rPr>
                      <w:t>11В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1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7226935</wp:posOffset>
              </wp:positionV>
              <wp:extent cx="311150" cy="91440"/>
              <wp:wrapNone/>
              <wp:docPr id="313" name="Shape 3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auto"/>
                              <w:lang w:val="ru-RU" w:eastAsia="ru-RU" w:bidi="ru-RU"/>
                            </w:rPr>
                            <w:t>11В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9" type="#_x0000_t202" style="position:absolute;margin-left:98.75pt;margin-top:569.05000000000007pt;width:24.5pt;height:7.2000000000000002pt;z-index:-18874382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2"/>
                        <w:szCs w:val="22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auto"/>
                        <w:lang w:val="ru-RU" w:eastAsia="ru-RU" w:bidi="ru-RU"/>
                      </w:rPr>
                      <w:t>11В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3" behindDoc="1" locked="0" layoutInCell="1" allowOverlap="1">
              <wp:simplePos x="0" y="0"/>
              <wp:positionH relativeFrom="page">
                <wp:posOffset>4396740</wp:posOffset>
              </wp:positionH>
              <wp:positionV relativeFrom="page">
                <wp:posOffset>7230110</wp:posOffset>
              </wp:positionV>
              <wp:extent cx="313690" cy="94615"/>
              <wp:wrapNone/>
              <wp:docPr id="316" name="Shape 3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1 1 </w:t>
                          </w: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2" type="#_x0000_t202" style="position:absolute;margin-left:346.19999999999999pt;margin-top:569.30000000000007pt;width:24.699999999999999pt;height:7.4500000000000002pt;z-index:-18874382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1 1 </w:t>
                    </w: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5" behindDoc="1" locked="0" layoutInCell="1" allowOverlap="1">
              <wp:simplePos x="0" y="0"/>
              <wp:positionH relativeFrom="page">
                <wp:posOffset>4396740</wp:posOffset>
              </wp:positionH>
              <wp:positionV relativeFrom="page">
                <wp:posOffset>7230110</wp:posOffset>
              </wp:positionV>
              <wp:extent cx="313690" cy="94615"/>
              <wp:wrapNone/>
              <wp:docPr id="318" name="Shape 3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1 1 </w:t>
                          </w: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4" type="#_x0000_t202" style="position:absolute;margin-left:346.19999999999999pt;margin-top:569.30000000000007pt;width:24.699999999999999pt;height:7.4500000000000002pt;z-index:-18874381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1 1 </w:t>
                    </w: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7" behindDoc="1" locked="0" layoutInCell="1" allowOverlap="1">
              <wp:simplePos x="0" y="0"/>
              <wp:positionH relativeFrom="page">
                <wp:posOffset>1100455</wp:posOffset>
              </wp:positionH>
              <wp:positionV relativeFrom="page">
                <wp:posOffset>7285990</wp:posOffset>
              </wp:positionV>
              <wp:extent cx="313690" cy="94615"/>
              <wp:wrapNone/>
              <wp:docPr id="322" name="Shape 3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1 20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8" type="#_x0000_t202" style="position:absolute;margin-left:86.650000000000006pt;margin-top:573.70000000000005pt;width:24.699999999999999pt;height:7.4500000000000002pt;z-index:-18874381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1 20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9" behindDoc="1" locked="0" layoutInCell="1" allowOverlap="1">
              <wp:simplePos x="0" y="0"/>
              <wp:positionH relativeFrom="page">
                <wp:posOffset>1100455</wp:posOffset>
              </wp:positionH>
              <wp:positionV relativeFrom="page">
                <wp:posOffset>7285990</wp:posOffset>
              </wp:positionV>
              <wp:extent cx="313690" cy="94615"/>
              <wp:wrapNone/>
              <wp:docPr id="324" name="Shape 3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1 20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0" type="#_x0000_t202" style="position:absolute;margin-left:86.650000000000006pt;margin-top:573.70000000000005pt;width:24.699999999999999pt;height:7.4500000000000002pt;z-index:-18874381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1 20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1" behindDoc="1" locked="0" layoutInCell="1" allowOverlap="1">
              <wp:simplePos x="0" y="0"/>
              <wp:positionH relativeFrom="page">
                <wp:posOffset>3959225</wp:posOffset>
              </wp:positionH>
              <wp:positionV relativeFrom="page">
                <wp:posOffset>7235825</wp:posOffset>
              </wp:positionV>
              <wp:extent cx="286385" cy="94615"/>
              <wp:wrapNone/>
              <wp:docPr id="326" name="Shape 3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6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121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2" type="#_x0000_t202" style="position:absolute;margin-left:311.75pt;margin-top:569.75pt;width:22.550000000000001pt;height:7.4500000000000002pt;z-index:-18874381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121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3" behindDoc="1" locked="0" layoutInCell="1" allowOverlap="1">
              <wp:simplePos x="0" y="0"/>
              <wp:positionH relativeFrom="page">
                <wp:posOffset>3959225</wp:posOffset>
              </wp:positionH>
              <wp:positionV relativeFrom="page">
                <wp:posOffset>7235825</wp:posOffset>
              </wp:positionV>
              <wp:extent cx="286385" cy="94615"/>
              <wp:wrapNone/>
              <wp:docPr id="328" name="Shape 3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6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121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4" type="#_x0000_t202" style="position:absolute;margin-left:311.75pt;margin-top:569.75pt;width:22.550000000000001pt;height:7.4500000000000002pt;z-index:-18874381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121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5" behindDoc="1" locked="0" layoutInCell="1" allowOverlap="1">
              <wp:simplePos x="0" y="0"/>
              <wp:positionH relativeFrom="page">
                <wp:posOffset>991870</wp:posOffset>
              </wp:positionH>
              <wp:positionV relativeFrom="page">
                <wp:posOffset>7037070</wp:posOffset>
              </wp:positionV>
              <wp:extent cx="313690" cy="91440"/>
              <wp:wrapNone/>
              <wp:docPr id="330" name="Shape 3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122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6" type="#_x0000_t202" style="position:absolute;margin-left:78.100000000000009pt;margin-top:554.10000000000002pt;width:24.699999999999999pt;height:7.2000000000000002pt;z-index:-18874380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122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7" behindDoc="1" locked="0" layoutInCell="1" allowOverlap="1">
              <wp:simplePos x="0" y="0"/>
              <wp:positionH relativeFrom="page">
                <wp:posOffset>991870</wp:posOffset>
              </wp:positionH>
              <wp:positionV relativeFrom="page">
                <wp:posOffset>7037070</wp:posOffset>
              </wp:positionV>
              <wp:extent cx="313690" cy="91440"/>
              <wp:wrapNone/>
              <wp:docPr id="332" name="Shape 3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122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8" type="#_x0000_t202" style="position:absolute;margin-left:78.100000000000009pt;margin-top:554.10000000000002pt;width:24.699999999999999pt;height:7.2000000000000002pt;z-index:-18874380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122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9" behindDoc="1" locked="0" layoutInCell="1" allowOverlap="1">
              <wp:simplePos x="0" y="0"/>
              <wp:positionH relativeFrom="page">
                <wp:posOffset>3913505</wp:posOffset>
              </wp:positionH>
              <wp:positionV relativeFrom="page">
                <wp:posOffset>7174865</wp:posOffset>
              </wp:positionV>
              <wp:extent cx="313690" cy="91440"/>
              <wp:wrapNone/>
              <wp:docPr id="334" name="Shape 3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0" type="#_x0000_t202" style="position:absolute;margin-left:308.15000000000003pt;margin-top:564.95000000000005pt;width:24.699999999999999pt;height:7.2000000000000002pt;z-index:-18874380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1" behindDoc="1" locked="0" layoutInCell="1" allowOverlap="1">
              <wp:simplePos x="0" y="0"/>
              <wp:positionH relativeFrom="page">
                <wp:posOffset>3913505</wp:posOffset>
              </wp:positionH>
              <wp:positionV relativeFrom="page">
                <wp:posOffset>7174865</wp:posOffset>
              </wp:positionV>
              <wp:extent cx="313690" cy="91440"/>
              <wp:wrapNone/>
              <wp:docPr id="336" name="Shape 3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2" type="#_x0000_t202" style="position:absolute;margin-left:308.15000000000003pt;margin-top:564.95000000000005pt;width:24.699999999999999pt;height:7.2000000000000002pt;z-index:-18874380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3" behindDoc="1" locked="0" layoutInCell="1" allowOverlap="1">
              <wp:simplePos x="0" y="0"/>
              <wp:positionH relativeFrom="page">
                <wp:posOffset>948055</wp:posOffset>
              </wp:positionH>
              <wp:positionV relativeFrom="page">
                <wp:posOffset>7200265</wp:posOffset>
              </wp:positionV>
              <wp:extent cx="316865" cy="94615"/>
              <wp:wrapNone/>
              <wp:docPr id="340" name="Shape 3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686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S4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6" type="#_x0000_t202" style="position:absolute;margin-left:74.650000000000006pt;margin-top:566.95000000000005pt;width:24.949999999999999pt;height:7.4500000000000002pt;z-index:-18874380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S4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5" behindDoc="1" locked="0" layoutInCell="1" allowOverlap="1">
              <wp:simplePos x="0" y="0"/>
              <wp:positionH relativeFrom="page">
                <wp:posOffset>948055</wp:posOffset>
              </wp:positionH>
              <wp:positionV relativeFrom="page">
                <wp:posOffset>7200265</wp:posOffset>
              </wp:positionV>
              <wp:extent cx="316865" cy="94615"/>
              <wp:wrapNone/>
              <wp:docPr id="342" name="Shape 3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686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S4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8" type="#_x0000_t202" style="position:absolute;margin-left:74.650000000000006pt;margin-top:566.95000000000005pt;width:24.949999999999999pt;height:7.4500000000000002pt;z-index:-18874379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S4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7" behindDoc="1" locked="0" layoutInCell="1" allowOverlap="1">
              <wp:simplePos x="0" y="0"/>
              <wp:positionH relativeFrom="page">
                <wp:posOffset>3959225</wp:posOffset>
              </wp:positionH>
              <wp:positionV relativeFrom="page">
                <wp:posOffset>7235825</wp:posOffset>
              </wp:positionV>
              <wp:extent cx="286385" cy="94615"/>
              <wp:wrapNone/>
              <wp:docPr id="344" name="Shape 3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6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121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0" type="#_x0000_t202" style="position:absolute;margin-left:311.75pt;margin-top:569.75pt;width:22.550000000000001pt;height:7.4500000000000002pt;z-index:-18874379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121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9" behindDoc="1" locked="0" layoutInCell="1" allowOverlap="1">
              <wp:simplePos x="0" y="0"/>
              <wp:positionH relativeFrom="page">
                <wp:posOffset>3959225</wp:posOffset>
              </wp:positionH>
              <wp:positionV relativeFrom="page">
                <wp:posOffset>7235825</wp:posOffset>
              </wp:positionV>
              <wp:extent cx="286385" cy="94615"/>
              <wp:wrapNone/>
              <wp:docPr id="346" name="Shape 3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6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121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2" type="#_x0000_t202" style="position:absolute;margin-left:311.75pt;margin-top:569.75pt;width:22.550000000000001pt;height:7.4500000000000002pt;z-index:-18874379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121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1" behindDoc="1" locked="0" layoutInCell="1" allowOverlap="1">
              <wp:simplePos x="0" y="0"/>
              <wp:positionH relativeFrom="page">
                <wp:posOffset>1100455</wp:posOffset>
              </wp:positionH>
              <wp:positionV relativeFrom="page">
                <wp:posOffset>7285990</wp:posOffset>
              </wp:positionV>
              <wp:extent cx="313690" cy="94615"/>
              <wp:wrapNone/>
              <wp:docPr id="348" name="Shape 3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1 20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4" type="#_x0000_t202" style="position:absolute;margin-left:86.650000000000006pt;margin-top:573.70000000000005pt;width:24.699999999999999pt;height:7.4500000000000002pt;z-index:-18874379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1 20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3" behindDoc="1" locked="0" layoutInCell="1" allowOverlap="1">
              <wp:simplePos x="0" y="0"/>
              <wp:positionH relativeFrom="page">
                <wp:posOffset>1100455</wp:posOffset>
              </wp:positionH>
              <wp:positionV relativeFrom="page">
                <wp:posOffset>7285990</wp:posOffset>
              </wp:positionV>
              <wp:extent cx="313690" cy="94615"/>
              <wp:wrapNone/>
              <wp:docPr id="350" name="Shape 3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1 20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6" type="#_x0000_t202" style="position:absolute;margin-left:86.650000000000006pt;margin-top:573.70000000000005pt;width:24.699999999999999pt;height:7.4500000000000002pt;z-index:-18874379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1 20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5" behindDoc="1" locked="0" layoutInCell="1" allowOverlap="1">
              <wp:simplePos x="0" y="0"/>
              <wp:positionH relativeFrom="page">
                <wp:posOffset>4296410</wp:posOffset>
              </wp:positionH>
              <wp:positionV relativeFrom="page">
                <wp:posOffset>7025005</wp:posOffset>
              </wp:positionV>
              <wp:extent cx="311150" cy="94615"/>
              <wp:wrapNone/>
              <wp:docPr id="352" name="Shape 3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1 27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8" type="#_x0000_t202" style="position:absolute;margin-left:338.30000000000001pt;margin-top:553.14999999999998pt;width:24.5pt;height:7.4500000000000002pt;z-index:-18874378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1 27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7" behindDoc="1" locked="0" layoutInCell="1" allowOverlap="1">
              <wp:simplePos x="0" y="0"/>
              <wp:positionH relativeFrom="page">
                <wp:posOffset>4296410</wp:posOffset>
              </wp:positionH>
              <wp:positionV relativeFrom="page">
                <wp:posOffset>7025005</wp:posOffset>
              </wp:positionV>
              <wp:extent cx="311150" cy="94615"/>
              <wp:wrapNone/>
              <wp:docPr id="354" name="Shape 3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1 27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0" type="#_x0000_t202" style="position:absolute;margin-left:338.30000000000001pt;margin-top:553.14999999999998pt;width:24.5pt;height:7.4500000000000002pt;z-index:-18874378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1 27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9" behindDoc="1" locked="0" layoutInCell="1" allowOverlap="1">
              <wp:simplePos x="0" y="0"/>
              <wp:positionH relativeFrom="page">
                <wp:posOffset>1243330</wp:posOffset>
              </wp:positionH>
              <wp:positionV relativeFrom="page">
                <wp:posOffset>7068185</wp:posOffset>
              </wp:positionV>
              <wp:extent cx="316865" cy="94615"/>
              <wp:wrapNone/>
              <wp:docPr id="356" name="Shape 3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686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2S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2" type="#_x0000_t202" style="position:absolute;margin-left:97.900000000000006pt;margin-top:556.55000000000007pt;width:24.949999999999999pt;height:7.4500000000000002pt;z-index:-18874378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2S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1" behindDoc="1" locked="0" layoutInCell="1" allowOverlap="1">
              <wp:simplePos x="0" y="0"/>
              <wp:positionH relativeFrom="page">
                <wp:posOffset>1243330</wp:posOffset>
              </wp:positionH>
              <wp:positionV relativeFrom="page">
                <wp:posOffset>7068185</wp:posOffset>
              </wp:positionV>
              <wp:extent cx="316865" cy="94615"/>
              <wp:wrapNone/>
              <wp:docPr id="358" name="Shape 3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686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2S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4" type="#_x0000_t202" style="position:absolute;margin-left:97.900000000000006pt;margin-top:556.55000000000007pt;width:24.949999999999999pt;height:7.4500000000000002pt;z-index:-18874378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2S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3" behindDoc="1" locked="0" layoutInCell="1" allowOverlap="1">
              <wp:simplePos x="0" y="0"/>
              <wp:positionH relativeFrom="page">
                <wp:posOffset>4237990</wp:posOffset>
              </wp:positionH>
              <wp:positionV relativeFrom="page">
                <wp:posOffset>7054215</wp:posOffset>
              </wp:positionV>
              <wp:extent cx="311150" cy="91440"/>
              <wp:wrapNone/>
              <wp:docPr id="360" name="Shape 3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2S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6" type="#_x0000_t202" style="position:absolute;margin-left:333.69999999999999pt;margin-top:555.45000000000005pt;width:24.5pt;height:7.2000000000000002pt;z-index:-18874378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2S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5" behindDoc="1" locked="0" layoutInCell="1" allowOverlap="1">
              <wp:simplePos x="0" y="0"/>
              <wp:positionH relativeFrom="page">
                <wp:posOffset>4237990</wp:posOffset>
              </wp:positionH>
              <wp:positionV relativeFrom="page">
                <wp:posOffset>7054215</wp:posOffset>
              </wp:positionV>
              <wp:extent cx="311150" cy="91440"/>
              <wp:wrapNone/>
              <wp:docPr id="362" name="Shape 3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2S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8" type="#_x0000_t202" style="position:absolute;margin-left:333.69999999999999pt;margin-top:555.45000000000005pt;width:24.5pt;height:7.2000000000000002pt;z-index:-18874377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2S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1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1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7" behindDoc="1" locked="0" layoutInCell="1" allowOverlap="1">
              <wp:simplePos x="0" y="0"/>
              <wp:positionH relativeFrom="page">
                <wp:posOffset>4331335</wp:posOffset>
              </wp:positionH>
              <wp:positionV relativeFrom="page">
                <wp:posOffset>7071995</wp:posOffset>
              </wp:positionV>
              <wp:extent cx="311150" cy="91440"/>
              <wp:wrapNone/>
              <wp:docPr id="368" name="Shape 3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1 33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4" type="#_x0000_t202" style="position:absolute;margin-left:341.05000000000001pt;margin-top:556.85000000000002pt;width:24.5pt;height:7.2000000000000002pt;z-index:-18874377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9" behindDoc="1" locked="0" layoutInCell="1" allowOverlap="1">
              <wp:simplePos x="0" y="0"/>
              <wp:positionH relativeFrom="page">
                <wp:posOffset>1090295</wp:posOffset>
              </wp:positionH>
              <wp:positionV relativeFrom="page">
                <wp:posOffset>7089775</wp:posOffset>
              </wp:positionV>
              <wp:extent cx="311150" cy="91440"/>
              <wp:wrapNone/>
              <wp:docPr id="370" name="Shape 3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1 42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6" type="#_x0000_t202" style="position:absolute;margin-left:85.850000000000009pt;margin-top:558.25pt;width:24.5pt;height:7.2000000000000002pt;z-index:-18874377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1 42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3" behindDoc="1" locked="0" layoutInCell="1" allowOverlap="1">
              <wp:simplePos x="0" y="0"/>
              <wp:positionH relativeFrom="page">
                <wp:posOffset>3965575</wp:posOffset>
              </wp:positionH>
              <wp:positionV relativeFrom="page">
                <wp:posOffset>7196455</wp:posOffset>
              </wp:positionV>
              <wp:extent cx="311150" cy="91440"/>
              <wp:wrapNone/>
              <wp:docPr id="374" name="Shape 3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1 37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0" type="#_x0000_t202" style="position:absolute;margin-left:312.25pt;margin-top:566.64999999999998pt;width:24.5pt;height:7.2000000000000002pt;z-index:-18874377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1 37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7" behindDoc="1" locked="0" layoutInCell="1" allowOverlap="1">
              <wp:simplePos x="0" y="0"/>
              <wp:positionH relativeFrom="page">
                <wp:posOffset>3965575</wp:posOffset>
              </wp:positionH>
              <wp:positionV relativeFrom="page">
                <wp:posOffset>7196455</wp:posOffset>
              </wp:positionV>
              <wp:extent cx="311150" cy="91440"/>
              <wp:wrapNone/>
              <wp:docPr id="378" name="Shape 3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1 37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4" type="#_x0000_t202" style="position:absolute;margin-left:312.25pt;margin-top:566.64999999999998pt;width:24.5pt;height:7.2000000000000002pt;z-index:-18874376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1 37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1" behindDoc="1" locked="0" layoutInCell="1" allowOverlap="1">
              <wp:simplePos x="0" y="0"/>
              <wp:positionH relativeFrom="page">
                <wp:posOffset>1211580</wp:posOffset>
              </wp:positionH>
              <wp:positionV relativeFrom="page">
                <wp:posOffset>7065645</wp:posOffset>
              </wp:positionV>
              <wp:extent cx="313690" cy="97790"/>
              <wp:wrapNone/>
              <wp:docPr id="382" name="Shape 3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3S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8" type="#_x0000_t202" style="position:absolute;margin-left:95.400000000000006pt;margin-top:556.35000000000002pt;width:24.699999999999999pt;height:7.7000000000000002pt;z-index:-18874376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3S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5" behindDoc="1" locked="0" layoutInCell="1" allowOverlap="1">
              <wp:simplePos x="0" y="0"/>
              <wp:positionH relativeFrom="page">
                <wp:posOffset>1211580</wp:posOffset>
              </wp:positionH>
              <wp:positionV relativeFrom="page">
                <wp:posOffset>7065645</wp:posOffset>
              </wp:positionV>
              <wp:extent cx="313690" cy="97790"/>
              <wp:wrapNone/>
              <wp:docPr id="386" name="Shape 3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3S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2" type="#_x0000_t202" style="position:absolute;margin-left:95.400000000000006pt;margin-top:556.35000000000002pt;width:24.699999999999999pt;height:7.7000000000000002pt;z-index:-18874375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3S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7" behindDoc="1" locked="0" layoutInCell="1" allowOverlap="1">
              <wp:simplePos x="0" y="0"/>
              <wp:positionH relativeFrom="page">
                <wp:posOffset>4384040</wp:posOffset>
              </wp:positionH>
              <wp:positionV relativeFrom="page">
                <wp:posOffset>7073265</wp:posOffset>
              </wp:positionV>
              <wp:extent cx="283210" cy="88265"/>
              <wp:wrapNone/>
              <wp:docPr id="388" name="Shape 3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32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141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4" type="#_x0000_t202" style="position:absolute;margin-left:345.19999999999999pt;margin-top:556.95000000000005pt;width:22.300000000000001pt;height:6.9500000000000002pt;z-index:-18874375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141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9" behindDoc="1" locked="0" layoutInCell="1" allowOverlap="1">
              <wp:simplePos x="0" y="0"/>
              <wp:positionH relativeFrom="page">
                <wp:posOffset>1090295</wp:posOffset>
              </wp:positionH>
              <wp:positionV relativeFrom="page">
                <wp:posOffset>7089775</wp:posOffset>
              </wp:positionV>
              <wp:extent cx="311150" cy="91440"/>
              <wp:wrapNone/>
              <wp:docPr id="390" name="Shape 3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1 42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6" type="#_x0000_t202" style="position:absolute;margin-left:85.850000000000009pt;margin-top:558.25pt;width:24.5pt;height:7.2000000000000002pt;z-index:-18874375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1 42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1" behindDoc="1" locked="0" layoutInCell="1" allowOverlap="1">
              <wp:simplePos x="0" y="0"/>
              <wp:positionH relativeFrom="page">
                <wp:posOffset>4396105</wp:posOffset>
              </wp:positionH>
              <wp:positionV relativeFrom="page">
                <wp:posOffset>7092950</wp:posOffset>
              </wp:positionV>
              <wp:extent cx="311150" cy="94615"/>
              <wp:wrapNone/>
              <wp:docPr id="392" name="Shape 3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3S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8" type="#_x0000_t202" style="position:absolute;margin-left:346.15000000000003pt;margin-top:558.5pt;width:24.5pt;height:7.4500000000000002pt;z-index:-18874375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3S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3" behindDoc="1" locked="0" layoutInCell="1" allowOverlap="1">
              <wp:simplePos x="0" y="0"/>
              <wp:positionH relativeFrom="page">
                <wp:posOffset>4437380</wp:posOffset>
              </wp:positionH>
              <wp:positionV relativeFrom="page">
                <wp:posOffset>7454900</wp:posOffset>
              </wp:positionV>
              <wp:extent cx="316865" cy="88265"/>
              <wp:wrapNone/>
              <wp:docPr id="404" name="Shape 4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686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1 45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0" type="#_x0000_t202" style="position:absolute;margin-left:349.40000000000003pt;margin-top:587.pt;width:24.949999999999999pt;height:6.9500000000000002pt;z-index:-18874375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1 45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5" behindDoc="1" locked="0" layoutInCell="1" allowOverlap="1">
              <wp:simplePos x="0" y="0"/>
              <wp:positionH relativeFrom="page">
                <wp:posOffset>4437380</wp:posOffset>
              </wp:positionH>
              <wp:positionV relativeFrom="page">
                <wp:posOffset>7454900</wp:posOffset>
              </wp:positionV>
              <wp:extent cx="316865" cy="88265"/>
              <wp:wrapNone/>
              <wp:docPr id="406" name="Shape 4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686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1 45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2" type="#_x0000_t202" style="position:absolute;margin-left:349.40000000000003pt;margin-top:587.pt;width:24.949999999999999pt;height:6.9500000000000002pt;z-index:-18874374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1 45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1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1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7" behindDoc="1" locked="0" layoutInCell="1" allowOverlap="1">
              <wp:simplePos x="0" y="0"/>
              <wp:positionH relativeFrom="page">
                <wp:posOffset>1054735</wp:posOffset>
              </wp:positionH>
              <wp:positionV relativeFrom="page">
                <wp:posOffset>7084060</wp:posOffset>
              </wp:positionV>
              <wp:extent cx="313690" cy="91440"/>
              <wp:wrapNone/>
              <wp:docPr id="420" name="Shape 4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1 54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6" type="#_x0000_t202" style="position:absolute;margin-left:83.049999999999997pt;margin-top:557.80000000000007pt;width:24.699999999999999pt;height:7.2000000000000002pt;z-index:-1887437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1 54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9" behindDoc="1" locked="0" layoutInCell="1" allowOverlap="1">
              <wp:simplePos x="0" y="0"/>
              <wp:positionH relativeFrom="page">
                <wp:posOffset>1054735</wp:posOffset>
              </wp:positionH>
              <wp:positionV relativeFrom="page">
                <wp:posOffset>7084060</wp:posOffset>
              </wp:positionV>
              <wp:extent cx="313690" cy="91440"/>
              <wp:wrapNone/>
              <wp:docPr id="422" name="Shape 4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1 54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8" type="#_x0000_t202" style="position:absolute;margin-left:83.049999999999997pt;margin-top:557.80000000000007pt;width:24.699999999999999pt;height:7.2000000000000002pt;z-index:-18874374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1 54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1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1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1" behindDoc="1" locked="0" layoutInCell="1" allowOverlap="1">
              <wp:simplePos x="0" y="0"/>
              <wp:positionH relativeFrom="page">
                <wp:posOffset>1043940</wp:posOffset>
              </wp:positionH>
              <wp:positionV relativeFrom="page">
                <wp:posOffset>7058660</wp:posOffset>
              </wp:positionV>
              <wp:extent cx="313690" cy="94615"/>
              <wp:wrapNone/>
              <wp:docPr id="424" name="Shape 4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auto"/>
                              <w:lang w:val="ru-RU" w:eastAsia="ru-RU" w:bidi="ru-RU"/>
                            </w:rPr>
                            <w:t>152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0" type="#_x0000_t202" style="position:absolute;margin-left:82.200000000000003pt;margin-top:555.80000000000007pt;width:24.699999999999999pt;height:7.4500000000000002pt;z-index:-18874374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2"/>
                        <w:szCs w:val="22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auto"/>
                        <w:lang w:val="ru-RU" w:eastAsia="ru-RU" w:bidi="ru-RU"/>
                      </w:rPr>
                      <w:t>152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3" behindDoc="1" locked="0" layoutInCell="1" allowOverlap="1">
              <wp:simplePos x="0" y="0"/>
              <wp:positionH relativeFrom="page">
                <wp:posOffset>1043940</wp:posOffset>
              </wp:positionH>
              <wp:positionV relativeFrom="page">
                <wp:posOffset>7058660</wp:posOffset>
              </wp:positionV>
              <wp:extent cx="313690" cy="94615"/>
              <wp:wrapNone/>
              <wp:docPr id="426" name="Shape 4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auto"/>
                              <w:lang w:val="ru-RU" w:eastAsia="ru-RU" w:bidi="ru-RU"/>
                            </w:rPr>
                            <w:t>152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2" type="#_x0000_t202" style="position:absolute;margin-left:82.200000000000003pt;margin-top:555.80000000000007pt;width:24.699999999999999pt;height:7.4500000000000002pt;z-index:-18874374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2"/>
                        <w:szCs w:val="22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auto"/>
                        <w:lang w:val="ru-RU" w:eastAsia="ru-RU" w:bidi="ru-RU"/>
                      </w:rPr>
                      <w:t>152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5" behindDoc="1" locked="0" layoutInCell="1" allowOverlap="1">
              <wp:simplePos x="0" y="0"/>
              <wp:positionH relativeFrom="page">
                <wp:posOffset>4351020</wp:posOffset>
              </wp:positionH>
              <wp:positionV relativeFrom="page">
                <wp:posOffset>7075805</wp:posOffset>
              </wp:positionV>
              <wp:extent cx="311150" cy="94615"/>
              <wp:wrapNone/>
              <wp:docPr id="428" name="Shape 4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1 53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4" type="#_x0000_t202" style="position:absolute;margin-left:342.60000000000002pt;margin-top:557.14999999999998pt;width:24.5pt;height:7.4500000000000002pt;z-index:-18874373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1 53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7" behindDoc="1" locked="0" layoutInCell="1" allowOverlap="1">
              <wp:simplePos x="0" y="0"/>
              <wp:positionH relativeFrom="page">
                <wp:posOffset>4351020</wp:posOffset>
              </wp:positionH>
              <wp:positionV relativeFrom="page">
                <wp:posOffset>7075805</wp:posOffset>
              </wp:positionV>
              <wp:extent cx="311150" cy="94615"/>
              <wp:wrapNone/>
              <wp:docPr id="430" name="Shape 4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1 53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6" type="#_x0000_t202" style="position:absolute;margin-left:342.60000000000002pt;margin-top:557.14999999999998pt;width:24.5pt;height:7.4500000000000002pt;z-index:-18874373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1 53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9" behindDoc="1" locked="0" layoutInCell="1" allowOverlap="1">
              <wp:simplePos x="0" y="0"/>
              <wp:positionH relativeFrom="page">
                <wp:posOffset>1054735</wp:posOffset>
              </wp:positionH>
              <wp:positionV relativeFrom="page">
                <wp:posOffset>7084060</wp:posOffset>
              </wp:positionV>
              <wp:extent cx="313690" cy="91440"/>
              <wp:wrapNone/>
              <wp:docPr id="432" name="Shape 4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1 54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8" type="#_x0000_t202" style="position:absolute;margin-left:83.049999999999997pt;margin-top:557.80000000000007pt;width:24.699999999999999pt;height:7.2000000000000002pt;z-index:-18874373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1 54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1" behindDoc="1" locked="0" layoutInCell="1" allowOverlap="1">
              <wp:simplePos x="0" y="0"/>
              <wp:positionH relativeFrom="page">
                <wp:posOffset>1054735</wp:posOffset>
              </wp:positionH>
              <wp:positionV relativeFrom="page">
                <wp:posOffset>7084060</wp:posOffset>
              </wp:positionV>
              <wp:extent cx="313690" cy="91440"/>
              <wp:wrapNone/>
              <wp:docPr id="434" name="Shape 4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1 54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0" type="#_x0000_t202" style="position:absolute;margin-left:83.049999999999997pt;margin-top:557.80000000000007pt;width:24.699999999999999pt;height:7.2000000000000002pt;z-index:-18874373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1 54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4" behindDoc="1" locked="0" layoutInCell="1" allowOverlap="1">
              <wp:simplePos x="0" y="0"/>
              <wp:positionH relativeFrom="page">
                <wp:posOffset>4351020</wp:posOffset>
              </wp:positionH>
              <wp:positionV relativeFrom="page">
                <wp:posOffset>7075805</wp:posOffset>
              </wp:positionV>
              <wp:extent cx="311150" cy="94615"/>
              <wp:wrapNone/>
              <wp:docPr id="438" name="Shape 4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1 53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4" type="#_x0000_t202" style="position:absolute;margin-left:342.60000000000002pt;margin-top:557.14999999999998pt;width:24.5pt;height:7.4500000000000002pt;z-index:-1887437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1 53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6" behindDoc="1" locked="0" layoutInCell="1" allowOverlap="1">
              <wp:simplePos x="0" y="0"/>
              <wp:positionH relativeFrom="page">
                <wp:posOffset>4351020</wp:posOffset>
              </wp:positionH>
              <wp:positionV relativeFrom="page">
                <wp:posOffset>7075805</wp:posOffset>
              </wp:positionV>
              <wp:extent cx="311150" cy="94615"/>
              <wp:wrapNone/>
              <wp:docPr id="440" name="Shape 4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1 53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6" type="#_x0000_t202" style="position:absolute;margin-left:342.60000000000002pt;margin-top:557.14999999999998pt;width:24.5pt;height:7.4500000000000002pt;z-index:-1887437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1 53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8" behindDoc="1" locked="0" layoutInCell="1" allowOverlap="1">
              <wp:simplePos x="0" y="0"/>
              <wp:positionH relativeFrom="page">
                <wp:posOffset>1043940</wp:posOffset>
              </wp:positionH>
              <wp:positionV relativeFrom="page">
                <wp:posOffset>7058660</wp:posOffset>
              </wp:positionV>
              <wp:extent cx="313690" cy="94615"/>
              <wp:wrapNone/>
              <wp:docPr id="442" name="Shape 4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auto"/>
                              <w:lang w:val="ru-RU" w:eastAsia="ru-RU" w:bidi="ru-RU"/>
                            </w:rPr>
                            <w:t>152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8" type="#_x0000_t202" style="position:absolute;margin-left:82.200000000000003pt;margin-top:555.80000000000007pt;width:24.699999999999999pt;height:7.4500000000000002pt;z-index:-1887437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2"/>
                        <w:szCs w:val="22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auto"/>
                        <w:lang w:val="ru-RU" w:eastAsia="ru-RU" w:bidi="ru-RU"/>
                      </w:rPr>
                      <w:t>152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0" behindDoc="1" locked="0" layoutInCell="1" allowOverlap="1">
              <wp:simplePos x="0" y="0"/>
              <wp:positionH relativeFrom="page">
                <wp:posOffset>1067435</wp:posOffset>
              </wp:positionH>
              <wp:positionV relativeFrom="page">
                <wp:posOffset>7229475</wp:posOffset>
              </wp:positionV>
              <wp:extent cx="313690" cy="91440"/>
              <wp:wrapNone/>
              <wp:docPr id="444" name="Shape 4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5В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0" type="#_x0000_t202" style="position:absolute;margin-left:84.049999999999997pt;margin-top:569.25pt;width:24.699999999999999pt;height:7.2000000000000002pt;z-index:-1887437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5В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2" behindDoc="1" locked="0" layoutInCell="1" allowOverlap="1">
              <wp:simplePos x="0" y="0"/>
              <wp:positionH relativeFrom="page">
                <wp:posOffset>1067435</wp:posOffset>
              </wp:positionH>
              <wp:positionV relativeFrom="page">
                <wp:posOffset>7229475</wp:posOffset>
              </wp:positionV>
              <wp:extent cx="313690" cy="91440"/>
              <wp:wrapNone/>
              <wp:docPr id="446" name="Shape 4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5В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2" type="#_x0000_t202" style="position:absolute;margin-left:84.049999999999997pt;margin-top:569.25pt;width:24.699999999999999pt;height:7.2000000000000002pt;z-index:-1887437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5В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4" behindDoc="1" locked="0" layoutInCell="1" allowOverlap="1">
              <wp:simplePos x="0" y="0"/>
              <wp:positionH relativeFrom="page">
                <wp:posOffset>4443730</wp:posOffset>
              </wp:positionH>
              <wp:positionV relativeFrom="page">
                <wp:posOffset>7188835</wp:posOffset>
              </wp:positionV>
              <wp:extent cx="311150" cy="91440"/>
              <wp:wrapNone/>
              <wp:docPr id="456" name="Shape 4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5Э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2" type="#_x0000_t202" style="position:absolute;margin-left:349.90000000000003pt;margin-top:566.05000000000007pt;width:24.5pt;height:7.2000000000000002pt;z-index:-1887437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5Э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6" behindDoc="1" locked="0" layoutInCell="1" allowOverlap="1">
              <wp:simplePos x="0" y="0"/>
              <wp:positionH relativeFrom="page">
                <wp:posOffset>4443730</wp:posOffset>
              </wp:positionH>
              <wp:positionV relativeFrom="page">
                <wp:posOffset>7188835</wp:posOffset>
              </wp:positionV>
              <wp:extent cx="311150" cy="91440"/>
              <wp:wrapNone/>
              <wp:docPr id="458" name="Shape 4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5Э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4" type="#_x0000_t202" style="position:absolute;margin-left:349.90000000000003pt;margin-top:566.05000000000007pt;width:24.5pt;height:7.2000000000000002pt;z-index:-1887437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5Э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8" behindDoc="1" locked="0" layoutInCell="1" allowOverlap="1">
              <wp:simplePos x="0" y="0"/>
              <wp:positionH relativeFrom="page">
                <wp:posOffset>1185545</wp:posOffset>
              </wp:positionH>
              <wp:positionV relativeFrom="page">
                <wp:posOffset>7205980</wp:posOffset>
              </wp:positionV>
              <wp:extent cx="313690" cy="94615"/>
              <wp:wrapNone/>
              <wp:docPr id="460" name="Shape 4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6" type="#_x0000_t202" style="position:absolute;margin-left:93.350000000000009pt;margin-top:567.39999999999998pt;width:24.699999999999999pt;height:7.4500000000000002pt;z-index:-1887437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0" behindDoc="1" locked="0" layoutInCell="1" allowOverlap="1">
              <wp:simplePos x="0" y="0"/>
              <wp:positionH relativeFrom="page">
                <wp:posOffset>1185545</wp:posOffset>
              </wp:positionH>
              <wp:positionV relativeFrom="page">
                <wp:posOffset>7205980</wp:posOffset>
              </wp:positionV>
              <wp:extent cx="313690" cy="94615"/>
              <wp:wrapNone/>
              <wp:docPr id="462" name="Shape 4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8" type="#_x0000_t202" style="position:absolute;margin-left:93.350000000000009pt;margin-top:567.39999999999998pt;width:24.699999999999999pt;height:7.4500000000000002pt;z-index:-1887437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2" behindDoc="1" locked="0" layoutInCell="1" allowOverlap="1">
              <wp:simplePos x="0" y="0"/>
              <wp:positionH relativeFrom="page">
                <wp:posOffset>4438015</wp:posOffset>
              </wp:positionH>
              <wp:positionV relativeFrom="page">
                <wp:posOffset>7221220</wp:posOffset>
              </wp:positionV>
              <wp:extent cx="286385" cy="88265"/>
              <wp:wrapNone/>
              <wp:docPr id="464" name="Shape 4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6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1В1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0" type="#_x0000_t202" style="position:absolute;margin-left:349.44999999999999pt;margin-top:568.60000000000002pt;width:22.550000000000001pt;height:6.9500000000000002pt;z-index:-1887437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1В1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4" behindDoc="1" locked="0" layoutInCell="1" allowOverlap="1">
              <wp:simplePos x="0" y="0"/>
              <wp:positionH relativeFrom="page">
                <wp:posOffset>4438015</wp:posOffset>
              </wp:positionH>
              <wp:positionV relativeFrom="page">
                <wp:posOffset>7221220</wp:posOffset>
              </wp:positionV>
              <wp:extent cx="286385" cy="88265"/>
              <wp:wrapNone/>
              <wp:docPr id="466" name="Shape 4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6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1В1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2" type="#_x0000_t202" style="position:absolute;margin-left:349.44999999999999pt;margin-top:568.60000000000002pt;width:22.550000000000001pt;height:6.9500000000000002pt;z-index:-1887437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1В1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6" behindDoc="1" locked="0" layoutInCell="1" allowOverlap="1">
              <wp:simplePos x="0" y="0"/>
              <wp:positionH relativeFrom="page">
                <wp:posOffset>4351020</wp:posOffset>
              </wp:positionH>
              <wp:positionV relativeFrom="page">
                <wp:posOffset>7075805</wp:posOffset>
              </wp:positionV>
              <wp:extent cx="311150" cy="94615"/>
              <wp:wrapNone/>
              <wp:docPr id="468" name="Shape 4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1 53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4" type="#_x0000_t202" style="position:absolute;margin-left:342.60000000000002pt;margin-top:557.14999999999998pt;width:24.5pt;height:7.4500000000000002pt;z-index:-1887437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1 53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8" behindDoc="1" locked="0" layoutInCell="1" allowOverlap="1">
              <wp:simplePos x="0" y="0"/>
              <wp:positionH relativeFrom="page">
                <wp:posOffset>1054735</wp:posOffset>
              </wp:positionH>
              <wp:positionV relativeFrom="page">
                <wp:posOffset>7084060</wp:posOffset>
              </wp:positionV>
              <wp:extent cx="313690" cy="91440"/>
              <wp:wrapNone/>
              <wp:docPr id="470" name="Shape 4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1 54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6" type="#_x0000_t202" style="position:absolute;margin-left:83.049999999999997pt;margin-top:557.80000000000007pt;width:24.699999999999999pt;height:7.2000000000000002pt;z-index:-1887437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1 54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0" behindDoc="1" locked="0" layoutInCell="1" allowOverlap="1">
              <wp:simplePos x="0" y="0"/>
              <wp:positionH relativeFrom="page">
                <wp:posOffset>1059180</wp:posOffset>
              </wp:positionH>
              <wp:positionV relativeFrom="page">
                <wp:posOffset>7291070</wp:posOffset>
              </wp:positionV>
              <wp:extent cx="311150" cy="91440"/>
              <wp:wrapNone/>
              <wp:docPr id="472" name="Shape 4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вг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8" type="#_x0000_t202" style="position:absolute;margin-left:83.400000000000006pt;margin-top:574.10000000000002pt;width:24.5pt;height:7.2000000000000002pt;z-index:-1887437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вг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2" behindDoc="1" locked="0" layoutInCell="1" allowOverlap="1">
              <wp:simplePos x="0" y="0"/>
              <wp:positionH relativeFrom="page">
                <wp:posOffset>4433570</wp:posOffset>
              </wp:positionH>
              <wp:positionV relativeFrom="page">
                <wp:posOffset>7214870</wp:posOffset>
              </wp:positionV>
              <wp:extent cx="311150" cy="88265"/>
              <wp:wrapNone/>
              <wp:docPr id="475" name="Shape 4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В7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1" type="#_x0000_t202" style="position:absolute;margin-left:349.10000000000002pt;margin-top:568.10000000000002pt;width:24.5pt;height:6.9500000000000002pt;z-index:-1887437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В7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4" behindDoc="1" locked="0" layoutInCell="1" allowOverlap="1">
              <wp:simplePos x="0" y="0"/>
              <wp:positionH relativeFrom="page">
                <wp:posOffset>1054735</wp:posOffset>
              </wp:positionH>
              <wp:positionV relativeFrom="page">
                <wp:posOffset>7084060</wp:posOffset>
              </wp:positionV>
              <wp:extent cx="313690" cy="91440"/>
              <wp:wrapNone/>
              <wp:docPr id="477" name="Shape 4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1 54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3" type="#_x0000_t202" style="position:absolute;margin-left:83.049999999999997pt;margin-top:557.80000000000007pt;width:24.699999999999999pt;height:7.2000000000000002pt;z-index:-1887436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1 54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6" behindDoc="1" locked="0" layoutInCell="1" allowOverlap="1">
              <wp:simplePos x="0" y="0"/>
              <wp:positionH relativeFrom="page">
                <wp:posOffset>4377055</wp:posOffset>
              </wp:positionH>
              <wp:positionV relativeFrom="page">
                <wp:posOffset>7237730</wp:posOffset>
              </wp:positionV>
              <wp:extent cx="313690" cy="91440"/>
              <wp:wrapNone/>
              <wp:docPr id="479" name="Shape 4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6Э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5" type="#_x0000_t202" style="position:absolute;margin-left:344.65000000000003pt;margin-top:569.89999999999998pt;width:24.699999999999999pt;height:7.2000000000000002pt;z-index:-1887436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6Э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8" behindDoc="1" locked="0" layoutInCell="1" allowOverlap="1">
              <wp:simplePos x="0" y="0"/>
              <wp:positionH relativeFrom="page">
                <wp:posOffset>4377055</wp:posOffset>
              </wp:positionH>
              <wp:positionV relativeFrom="page">
                <wp:posOffset>7237730</wp:posOffset>
              </wp:positionV>
              <wp:extent cx="313690" cy="91440"/>
              <wp:wrapNone/>
              <wp:docPr id="481" name="Shape 4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6Э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7" type="#_x0000_t202" style="position:absolute;margin-left:344.65000000000003pt;margin-top:569.89999999999998pt;width:24.699999999999999pt;height:7.2000000000000002pt;z-index:-1887436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6Э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0" behindDoc="1" locked="0" layoutInCell="1" allowOverlap="1">
              <wp:simplePos x="0" y="0"/>
              <wp:positionH relativeFrom="page">
                <wp:posOffset>1054735</wp:posOffset>
              </wp:positionH>
              <wp:positionV relativeFrom="page">
                <wp:posOffset>7084060</wp:posOffset>
              </wp:positionV>
              <wp:extent cx="313690" cy="91440"/>
              <wp:wrapNone/>
              <wp:docPr id="485" name="Shape 4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1 54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1" type="#_x0000_t202" style="position:absolute;margin-left:83.049999999999997pt;margin-top:557.80000000000007pt;width:24.699999999999999pt;height:7.2000000000000002pt;z-index:-1887436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1 54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2" behindDoc="1" locked="0" layoutInCell="1" allowOverlap="1">
              <wp:simplePos x="0" y="0"/>
              <wp:positionH relativeFrom="page">
                <wp:posOffset>4419600</wp:posOffset>
              </wp:positionH>
              <wp:positionV relativeFrom="page">
                <wp:posOffset>7259320</wp:posOffset>
              </wp:positionV>
              <wp:extent cx="313690" cy="91440"/>
              <wp:wrapNone/>
              <wp:docPr id="487" name="Shape 4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1 73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3" type="#_x0000_t202" style="position:absolute;margin-left:348.pt;margin-top:571.60000000000002pt;width:24.699999999999999pt;height:7.2000000000000002pt;z-index:-1887436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4" behindDoc="1" locked="0" layoutInCell="1" allowOverlap="1">
              <wp:simplePos x="0" y="0"/>
              <wp:positionH relativeFrom="page">
                <wp:posOffset>4419600</wp:posOffset>
              </wp:positionH>
              <wp:positionV relativeFrom="page">
                <wp:posOffset>7259320</wp:posOffset>
              </wp:positionV>
              <wp:extent cx="313690" cy="91440"/>
              <wp:wrapNone/>
              <wp:docPr id="489" name="Shape 4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1 73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5" type="#_x0000_t202" style="position:absolute;margin-left:348.pt;margin-top:571.60000000000002pt;width:24.699999999999999pt;height:7.2000000000000002pt;z-index:-1887436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0" behindDoc="1" locked="0" layoutInCell="1" allowOverlap="1">
              <wp:simplePos x="0" y="0"/>
              <wp:positionH relativeFrom="page">
                <wp:posOffset>1050290</wp:posOffset>
              </wp:positionH>
              <wp:positionV relativeFrom="page">
                <wp:posOffset>7080885</wp:posOffset>
              </wp:positionV>
              <wp:extent cx="311150" cy="91440"/>
              <wp:wrapNone/>
              <wp:docPr id="497" name="Shape 4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7В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3" type="#_x0000_t202" style="position:absolute;margin-left:82.700000000000003pt;margin-top:557.55000000000007pt;width:24.5pt;height:7.2000000000000002pt;z-index:-1887436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7В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2" behindDoc="1" locked="0" layoutInCell="1" allowOverlap="1">
              <wp:simplePos x="0" y="0"/>
              <wp:positionH relativeFrom="page">
                <wp:posOffset>1050290</wp:posOffset>
              </wp:positionH>
              <wp:positionV relativeFrom="page">
                <wp:posOffset>7080885</wp:posOffset>
              </wp:positionV>
              <wp:extent cx="311150" cy="91440"/>
              <wp:wrapNone/>
              <wp:docPr id="499" name="Shape 4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7В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5" type="#_x0000_t202" style="position:absolute;margin-left:82.700000000000003pt;margin-top:557.55000000000007pt;width:24.5pt;height:7.2000000000000002pt;z-index:-1887436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7В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4" behindDoc="1" locked="0" layoutInCell="1" allowOverlap="1">
              <wp:simplePos x="0" y="0"/>
              <wp:positionH relativeFrom="page">
                <wp:posOffset>4479290</wp:posOffset>
              </wp:positionH>
              <wp:positionV relativeFrom="page">
                <wp:posOffset>7042785</wp:posOffset>
              </wp:positionV>
              <wp:extent cx="316865" cy="91440"/>
              <wp:wrapNone/>
              <wp:docPr id="501" name="Shape 5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686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7" type="#_x0000_t202" style="position:absolute;margin-left:352.69999999999999pt;margin-top:554.55000000000007pt;width:24.949999999999999pt;height:7.2000000000000002pt;z-index:-1887436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6" behindDoc="1" locked="0" layoutInCell="1" allowOverlap="1">
              <wp:simplePos x="0" y="0"/>
              <wp:positionH relativeFrom="page">
                <wp:posOffset>4479290</wp:posOffset>
              </wp:positionH>
              <wp:positionV relativeFrom="page">
                <wp:posOffset>7042785</wp:posOffset>
              </wp:positionV>
              <wp:extent cx="316865" cy="91440"/>
              <wp:wrapNone/>
              <wp:docPr id="503" name="Shape 5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686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9" type="#_x0000_t202" style="position:absolute;margin-left:352.69999999999999pt;margin-top:554.55000000000007pt;width:24.949999999999999pt;height:7.2000000000000002pt;z-index:-1887436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8" behindDoc="1" locked="0" layoutInCell="1" allowOverlap="1">
              <wp:simplePos x="0" y="0"/>
              <wp:positionH relativeFrom="page">
                <wp:posOffset>1083945</wp:posOffset>
              </wp:positionH>
              <wp:positionV relativeFrom="page">
                <wp:posOffset>7035800</wp:posOffset>
              </wp:positionV>
              <wp:extent cx="313690" cy="91440"/>
              <wp:wrapNone/>
              <wp:docPr id="505" name="Shape 5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17В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1" type="#_x0000_t202" style="position:absolute;margin-left:85.350000000000009pt;margin-top:554.pt;width:24.699999999999999pt;height:7.2000000000000002pt;z-index:-1887436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17В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0" behindDoc="1" locked="0" layoutInCell="1" allowOverlap="1">
              <wp:simplePos x="0" y="0"/>
              <wp:positionH relativeFrom="page">
                <wp:posOffset>1083945</wp:posOffset>
              </wp:positionH>
              <wp:positionV relativeFrom="page">
                <wp:posOffset>7035800</wp:posOffset>
              </wp:positionV>
              <wp:extent cx="313690" cy="91440"/>
              <wp:wrapNone/>
              <wp:docPr id="507" name="Shape 5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17В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3" type="#_x0000_t202" style="position:absolute;margin-left:85.350000000000009pt;margin-top:554.pt;width:24.699999999999999pt;height:7.2000000000000002pt;z-index:-1887436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17В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2" behindDoc="1" locked="0" layoutInCell="1" allowOverlap="1">
              <wp:simplePos x="0" y="0"/>
              <wp:positionH relativeFrom="page">
                <wp:posOffset>4479290</wp:posOffset>
              </wp:positionH>
              <wp:positionV relativeFrom="page">
                <wp:posOffset>7042785</wp:posOffset>
              </wp:positionV>
              <wp:extent cx="316865" cy="91440"/>
              <wp:wrapNone/>
              <wp:docPr id="509" name="Shape 5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686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5" type="#_x0000_t202" style="position:absolute;margin-left:352.69999999999999pt;margin-top:554.55000000000007pt;width:24.949999999999999pt;height:7.2000000000000002pt;z-index:-1887436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4" behindDoc="1" locked="0" layoutInCell="1" allowOverlap="1">
              <wp:simplePos x="0" y="0"/>
              <wp:positionH relativeFrom="page">
                <wp:posOffset>4479290</wp:posOffset>
              </wp:positionH>
              <wp:positionV relativeFrom="page">
                <wp:posOffset>7042785</wp:posOffset>
              </wp:positionV>
              <wp:extent cx="316865" cy="91440"/>
              <wp:wrapNone/>
              <wp:docPr id="511" name="Shape 5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686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7" type="#_x0000_t202" style="position:absolute;margin-left:352.69999999999999pt;margin-top:554.55000000000007pt;width:24.949999999999999pt;height:7.2000000000000002pt;z-index:-1887436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6" behindDoc="1" locked="0" layoutInCell="1" allowOverlap="1">
              <wp:simplePos x="0" y="0"/>
              <wp:positionH relativeFrom="page">
                <wp:posOffset>994410</wp:posOffset>
              </wp:positionH>
              <wp:positionV relativeFrom="page">
                <wp:posOffset>7042150</wp:posOffset>
              </wp:positionV>
              <wp:extent cx="313690" cy="91440"/>
              <wp:wrapNone/>
              <wp:docPr id="513" name="Shape 5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auto"/>
                              <w:lang w:val="ru-RU" w:eastAsia="ru-RU" w:bidi="ru-RU"/>
                            </w:rPr>
                            <w:t>1ВО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9" type="#_x0000_t202" style="position:absolute;margin-left:78.299999999999997pt;margin-top:554.5pt;width:24.699999999999999pt;height:7.2000000000000002pt;z-index:-1887436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2"/>
                        <w:szCs w:val="22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auto"/>
                        <w:lang w:val="ru-RU" w:eastAsia="ru-RU" w:bidi="ru-RU"/>
                      </w:rPr>
                      <w:t>1ВО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8" behindDoc="1" locked="0" layoutInCell="1" allowOverlap="1">
              <wp:simplePos x="0" y="0"/>
              <wp:positionH relativeFrom="page">
                <wp:posOffset>994410</wp:posOffset>
              </wp:positionH>
              <wp:positionV relativeFrom="page">
                <wp:posOffset>7042150</wp:posOffset>
              </wp:positionV>
              <wp:extent cx="313690" cy="91440"/>
              <wp:wrapNone/>
              <wp:docPr id="515" name="Shape 5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auto"/>
                              <w:lang w:val="ru-RU" w:eastAsia="ru-RU" w:bidi="ru-RU"/>
                            </w:rPr>
                            <w:t>1ВО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1" type="#_x0000_t202" style="position:absolute;margin-left:78.299999999999997pt;margin-top:554.5pt;width:24.699999999999999pt;height:7.2000000000000002pt;z-index:-1887436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2"/>
                        <w:szCs w:val="22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auto"/>
                        <w:lang w:val="ru-RU" w:eastAsia="ru-RU" w:bidi="ru-RU"/>
                      </w:rPr>
                      <w:t>1ВО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0" behindDoc="1" locked="0" layoutInCell="1" allowOverlap="1">
              <wp:simplePos x="0" y="0"/>
              <wp:positionH relativeFrom="page">
                <wp:posOffset>4433570</wp:posOffset>
              </wp:positionH>
              <wp:positionV relativeFrom="page">
                <wp:posOffset>7090410</wp:posOffset>
              </wp:positionV>
              <wp:extent cx="286385" cy="88265"/>
              <wp:wrapNone/>
              <wp:docPr id="517" name="Shape 5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6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101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3" type="#_x0000_t202" style="position:absolute;margin-left:349.10000000000002pt;margin-top:558.30000000000007pt;width:22.550000000000001pt;height:6.9500000000000002pt;z-index:-1887436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101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2" behindDoc="1" locked="0" layoutInCell="1" allowOverlap="1">
              <wp:simplePos x="0" y="0"/>
              <wp:positionH relativeFrom="page">
                <wp:posOffset>4433570</wp:posOffset>
              </wp:positionH>
              <wp:positionV relativeFrom="page">
                <wp:posOffset>7090410</wp:posOffset>
              </wp:positionV>
              <wp:extent cx="286385" cy="88265"/>
              <wp:wrapNone/>
              <wp:docPr id="519" name="Shape 5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6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101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5" type="#_x0000_t202" style="position:absolute;margin-left:349.10000000000002pt;margin-top:558.30000000000007pt;width:22.550000000000001pt;height:6.9500000000000002pt;z-index:-1887436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101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4" behindDoc="1" locked="0" layoutInCell="1" allowOverlap="1">
              <wp:simplePos x="0" y="0"/>
              <wp:positionH relativeFrom="page">
                <wp:posOffset>1044575</wp:posOffset>
              </wp:positionH>
              <wp:positionV relativeFrom="page">
                <wp:posOffset>7072630</wp:posOffset>
              </wp:positionV>
              <wp:extent cx="311150" cy="94615"/>
              <wp:wrapNone/>
              <wp:docPr id="521" name="Shape 5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В2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7" type="#_x0000_t202" style="position:absolute;margin-left:82.25pt;margin-top:556.89999999999998pt;width:24.5pt;height:7.4500000000000002pt;z-index:-1887436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В2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6" behindDoc="1" locked="0" layoutInCell="1" allowOverlap="1">
              <wp:simplePos x="0" y="0"/>
              <wp:positionH relativeFrom="page">
                <wp:posOffset>1044575</wp:posOffset>
              </wp:positionH>
              <wp:positionV relativeFrom="page">
                <wp:posOffset>7072630</wp:posOffset>
              </wp:positionV>
              <wp:extent cx="311150" cy="94615"/>
              <wp:wrapNone/>
              <wp:docPr id="523" name="Shape 5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В2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9" type="#_x0000_t202" style="position:absolute;margin-left:82.25pt;margin-top:556.89999999999998pt;width:24.5pt;height:7.4500000000000002pt;z-index:-1887436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В2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8" behindDoc="1" locked="0" layoutInCell="1" allowOverlap="1">
              <wp:simplePos x="0" y="0"/>
              <wp:positionH relativeFrom="page">
                <wp:posOffset>4468495</wp:posOffset>
              </wp:positionH>
              <wp:positionV relativeFrom="page">
                <wp:posOffset>7081520</wp:posOffset>
              </wp:positionV>
              <wp:extent cx="316865" cy="91440"/>
              <wp:wrapNone/>
              <wp:docPr id="525" name="Shape 5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686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1ВЗ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1" type="#_x0000_t202" style="position:absolute;margin-left:351.85000000000002pt;margin-top:557.60000000000002pt;width:24.949999999999999pt;height:7.2000000000000002pt;z-index:-1887436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1ВЗ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0" behindDoc="1" locked="0" layoutInCell="1" allowOverlap="1">
              <wp:simplePos x="0" y="0"/>
              <wp:positionH relativeFrom="page">
                <wp:posOffset>4468495</wp:posOffset>
              </wp:positionH>
              <wp:positionV relativeFrom="page">
                <wp:posOffset>7081520</wp:posOffset>
              </wp:positionV>
              <wp:extent cx="316865" cy="91440"/>
              <wp:wrapNone/>
              <wp:docPr id="527" name="Shape 5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686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1ВЗ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3" type="#_x0000_t202" style="position:absolute;margin-left:351.85000000000002pt;margin-top:557.60000000000002pt;width:24.949999999999999pt;height:7.2000000000000002pt;z-index:-1887436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1ВЗ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2" behindDoc="1" locked="0" layoutInCell="1" allowOverlap="1">
              <wp:simplePos x="0" y="0"/>
              <wp:positionH relativeFrom="page">
                <wp:posOffset>1150620</wp:posOffset>
              </wp:positionH>
              <wp:positionV relativeFrom="page">
                <wp:posOffset>7119620</wp:posOffset>
              </wp:positionV>
              <wp:extent cx="311150" cy="91440"/>
              <wp:wrapNone/>
              <wp:docPr id="529" name="Shape 5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S4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5" type="#_x0000_t202" style="position:absolute;margin-left:90.600000000000009pt;margin-top:560.60000000000002pt;width:24.5pt;height:7.2000000000000002pt;z-index:-1887436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S4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4" behindDoc="1" locked="0" layoutInCell="1" allowOverlap="1">
              <wp:simplePos x="0" y="0"/>
              <wp:positionH relativeFrom="page">
                <wp:posOffset>1150620</wp:posOffset>
              </wp:positionH>
              <wp:positionV relativeFrom="page">
                <wp:posOffset>7119620</wp:posOffset>
              </wp:positionV>
              <wp:extent cx="311150" cy="91440"/>
              <wp:wrapNone/>
              <wp:docPr id="531" name="Shape 5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S4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7" type="#_x0000_t202" style="position:absolute;margin-left:90.600000000000009pt;margin-top:560.60000000000002pt;width:24.5pt;height:7.2000000000000002pt;z-index:-1887436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S4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6" behindDoc="1" locked="0" layoutInCell="1" allowOverlap="1">
              <wp:simplePos x="0" y="0"/>
              <wp:positionH relativeFrom="page">
                <wp:posOffset>4384675</wp:posOffset>
              </wp:positionH>
              <wp:positionV relativeFrom="page">
                <wp:posOffset>7124065</wp:posOffset>
              </wp:positionV>
              <wp:extent cx="313690" cy="91440"/>
              <wp:wrapNone/>
              <wp:docPr id="533" name="Shape 5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1 05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9" type="#_x0000_t202" style="position:absolute;margin-left:345.25pt;margin-top:560.95000000000005pt;width:24.699999999999999pt;height:7.2000000000000002pt;z-index:-1887436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1 05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8" behindDoc="1" locked="0" layoutInCell="1" allowOverlap="1">
              <wp:simplePos x="0" y="0"/>
              <wp:positionH relativeFrom="page">
                <wp:posOffset>4384675</wp:posOffset>
              </wp:positionH>
              <wp:positionV relativeFrom="page">
                <wp:posOffset>7124065</wp:posOffset>
              </wp:positionV>
              <wp:extent cx="313690" cy="91440"/>
              <wp:wrapNone/>
              <wp:docPr id="535" name="Shape 5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1 05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1" type="#_x0000_t202" style="position:absolute;margin-left:345.25pt;margin-top:560.95000000000005pt;width:24.699999999999999pt;height:7.2000000000000002pt;z-index:-1887436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1 05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0" behindDoc="1" locked="0" layoutInCell="1" allowOverlap="1">
              <wp:simplePos x="0" y="0"/>
              <wp:positionH relativeFrom="page">
                <wp:posOffset>1113790</wp:posOffset>
              </wp:positionH>
              <wp:positionV relativeFrom="page">
                <wp:posOffset>7091680</wp:posOffset>
              </wp:positionV>
              <wp:extent cx="311150" cy="91440"/>
              <wp:wrapNone/>
              <wp:docPr id="537" name="Shape 5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Вб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3" type="#_x0000_t202" style="position:absolute;margin-left:87.700000000000003pt;margin-top:558.39999999999998pt;width:24.5pt;height:7.2000000000000002pt;z-index:-1887436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Вб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2" behindDoc="1" locked="0" layoutInCell="1" allowOverlap="1">
              <wp:simplePos x="0" y="0"/>
              <wp:positionH relativeFrom="page">
                <wp:posOffset>1113790</wp:posOffset>
              </wp:positionH>
              <wp:positionV relativeFrom="page">
                <wp:posOffset>7091680</wp:posOffset>
              </wp:positionV>
              <wp:extent cx="311150" cy="91440"/>
              <wp:wrapNone/>
              <wp:docPr id="539" name="Shape 5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Вб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5" type="#_x0000_t202" style="position:absolute;margin-left:87.700000000000003pt;margin-top:558.39999999999998pt;width:24.5pt;height:7.2000000000000002pt;z-index:-1887436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Вб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4" behindDoc="1" locked="0" layoutInCell="1" allowOverlap="1">
              <wp:simplePos x="0" y="0"/>
              <wp:positionH relativeFrom="page">
                <wp:posOffset>4428490</wp:posOffset>
              </wp:positionH>
              <wp:positionV relativeFrom="page">
                <wp:posOffset>7096125</wp:posOffset>
              </wp:positionV>
              <wp:extent cx="311150" cy="94615"/>
              <wp:wrapNone/>
              <wp:docPr id="541" name="Shape 5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В7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7" type="#_x0000_t202" style="position:absolute;margin-left:348.69999999999999pt;margin-top:558.75pt;width:24.5pt;height:7.4500000000000002pt;z-index:-1887436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В7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6" behindDoc="1" locked="0" layoutInCell="1" allowOverlap="1">
              <wp:simplePos x="0" y="0"/>
              <wp:positionH relativeFrom="page">
                <wp:posOffset>4428490</wp:posOffset>
              </wp:positionH>
              <wp:positionV relativeFrom="page">
                <wp:posOffset>7096125</wp:posOffset>
              </wp:positionV>
              <wp:extent cx="311150" cy="94615"/>
              <wp:wrapNone/>
              <wp:docPr id="543" name="Shape 5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В7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9" type="#_x0000_t202" style="position:absolute;margin-left:348.69999999999999pt;margin-top:558.75pt;width:24.5pt;height:7.4500000000000002pt;z-index:-1887436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В7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8" behindDoc="1" locked="0" layoutInCell="1" allowOverlap="1">
              <wp:simplePos x="0" y="0"/>
              <wp:positionH relativeFrom="page">
                <wp:posOffset>1100455</wp:posOffset>
              </wp:positionH>
              <wp:positionV relativeFrom="page">
                <wp:posOffset>7103110</wp:posOffset>
              </wp:positionV>
              <wp:extent cx="316865" cy="91440"/>
              <wp:wrapNone/>
              <wp:docPr id="545" name="Shape 5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686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аа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1" type="#_x0000_t202" style="position:absolute;margin-left:86.650000000000006pt;margin-top:559.30000000000007pt;width:24.949999999999999pt;height:7.2000000000000002pt;z-index:-1887436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аа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0" behindDoc="1" locked="0" layoutInCell="1" allowOverlap="1">
              <wp:simplePos x="0" y="0"/>
              <wp:positionH relativeFrom="page">
                <wp:posOffset>1100455</wp:posOffset>
              </wp:positionH>
              <wp:positionV relativeFrom="page">
                <wp:posOffset>7103110</wp:posOffset>
              </wp:positionV>
              <wp:extent cx="316865" cy="91440"/>
              <wp:wrapNone/>
              <wp:docPr id="547" name="Shape 5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686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аа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3" type="#_x0000_t202" style="position:absolute;margin-left:86.650000000000006pt;margin-top:559.30000000000007pt;width:24.949999999999999pt;height:7.2000000000000002pt;z-index:-1887436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аа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2" behindDoc="1" locked="0" layoutInCell="1" allowOverlap="1">
              <wp:simplePos x="0" y="0"/>
              <wp:positionH relativeFrom="page">
                <wp:posOffset>4422775</wp:posOffset>
              </wp:positionH>
              <wp:positionV relativeFrom="page">
                <wp:posOffset>7054850</wp:posOffset>
              </wp:positionV>
              <wp:extent cx="313690" cy="94615"/>
              <wp:wrapNone/>
              <wp:docPr id="549" name="Shape 5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SS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5" type="#_x0000_t202" style="position:absolute;margin-left:348.25pt;margin-top:555.5pt;width:24.699999999999999pt;height:7.4500000000000002pt;z-index:-1887436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SS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4" behindDoc="1" locked="0" layoutInCell="1" allowOverlap="1">
              <wp:simplePos x="0" y="0"/>
              <wp:positionH relativeFrom="page">
                <wp:posOffset>4422775</wp:posOffset>
              </wp:positionH>
              <wp:positionV relativeFrom="page">
                <wp:posOffset>7054850</wp:posOffset>
              </wp:positionV>
              <wp:extent cx="313690" cy="94615"/>
              <wp:wrapNone/>
              <wp:docPr id="551" name="Shape 5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SS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7" type="#_x0000_t202" style="position:absolute;margin-left:348.25pt;margin-top:555.5pt;width:24.699999999999999pt;height:7.4500000000000002pt;z-index:-1887436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SS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6" behindDoc="1" locked="0" layoutInCell="1" allowOverlap="1">
              <wp:simplePos x="0" y="0"/>
              <wp:positionH relativeFrom="page">
                <wp:posOffset>1104900</wp:posOffset>
              </wp:positionH>
              <wp:positionV relativeFrom="page">
                <wp:posOffset>7070725</wp:posOffset>
              </wp:positionV>
              <wp:extent cx="313690" cy="94615"/>
              <wp:wrapNone/>
              <wp:docPr id="553" name="Shape 5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9" type="#_x0000_t202" style="position:absolute;margin-left:87.pt;margin-top:556.75pt;width:24.699999999999999pt;height:7.4500000000000002pt;z-index:-1887436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8" behindDoc="1" locked="0" layoutInCell="1" allowOverlap="1">
              <wp:simplePos x="0" y="0"/>
              <wp:positionH relativeFrom="page">
                <wp:posOffset>1104900</wp:posOffset>
              </wp:positionH>
              <wp:positionV relativeFrom="page">
                <wp:posOffset>7070725</wp:posOffset>
              </wp:positionV>
              <wp:extent cx="313690" cy="94615"/>
              <wp:wrapNone/>
              <wp:docPr id="555" name="Shape 5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1" type="#_x0000_t202" style="position:absolute;margin-left:87.pt;margin-top:556.75pt;width:24.699999999999999pt;height:7.4500000000000002pt;z-index:-1887436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0" behindDoc="1" locked="0" layoutInCell="1" allowOverlap="1">
              <wp:simplePos x="0" y="0"/>
              <wp:positionH relativeFrom="page">
                <wp:posOffset>4405630</wp:posOffset>
              </wp:positionH>
              <wp:positionV relativeFrom="page">
                <wp:posOffset>7065010</wp:posOffset>
              </wp:positionV>
              <wp:extent cx="286385" cy="91440"/>
              <wp:wrapNone/>
              <wp:docPr id="557" name="Shape 5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6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S1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3" type="#_x0000_t202" style="position:absolute;margin-left:346.90000000000003pt;margin-top:556.30000000000007pt;width:22.550000000000001pt;height:7.2000000000000002pt;z-index:-1887436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S1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2" behindDoc="1" locked="0" layoutInCell="1" allowOverlap="1">
              <wp:simplePos x="0" y="0"/>
              <wp:positionH relativeFrom="page">
                <wp:posOffset>4405630</wp:posOffset>
              </wp:positionH>
              <wp:positionV relativeFrom="page">
                <wp:posOffset>7065010</wp:posOffset>
              </wp:positionV>
              <wp:extent cx="286385" cy="91440"/>
              <wp:wrapNone/>
              <wp:docPr id="559" name="Shape 5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6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S1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5" type="#_x0000_t202" style="position:absolute;margin-left:346.90000000000003pt;margin-top:556.30000000000007pt;width:22.550000000000001pt;height:7.2000000000000002pt;z-index:-1887436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S1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4" behindDoc="1" locked="0" layoutInCell="1" allowOverlap="1">
              <wp:simplePos x="0" y="0"/>
              <wp:positionH relativeFrom="page">
                <wp:posOffset>1104900</wp:posOffset>
              </wp:positionH>
              <wp:positionV relativeFrom="page">
                <wp:posOffset>7070725</wp:posOffset>
              </wp:positionV>
              <wp:extent cx="313690" cy="94615"/>
              <wp:wrapNone/>
              <wp:docPr id="561" name="Shape 5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7" type="#_x0000_t202" style="position:absolute;margin-left:87.pt;margin-top:556.75pt;width:24.699999999999999pt;height:7.4500000000000002pt;z-index:-1887436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6" behindDoc="1" locked="0" layoutInCell="1" allowOverlap="1">
              <wp:simplePos x="0" y="0"/>
              <wp:positionH relativeFrom="page">
                <wp:posOffset>1104900</wp:posOffset>
              </wp:positionH>
              <wp:positionV relativeFrom="page">
                <wp:posOffset>7070725</wp:posOffset>
              </wp:positionV>
              <wp:extent cx="313690" cy="94615"/>
              <wp:wrapNone/>
              <wp:docPr id="563" name="Shape 5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9" type="#_x0000_t202" style="position:absolute;margin-left:87.pt;margin-top:556.75pt;width:24.699999999999999pt;height:7.4500000000000002pt;z-index:-1887436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8" behindDoc="1" locked="0" layoutInCell="1" allowOverlap="1">
              <wp:simplePos x="0" y="0"/>
              <wp:positionH relativeFrom="page">
                <wp:posOffset>4355465</wp:posOffset>
              </wp:positionH>
              <wp:positionV relativeFrom="page">
                <wp:posOffset>7112000</wp:posOffset>
              </wp:positionV>
              <wp:extent cx="313690" cy="91440"/>
              <wp:wrapNone/>
              <wp:docPr id="565" name="Shape 5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auto"/>
                              <w:lang w:val="ru-RU" w:eastAsia="ru-RU" w:bidi="ru-RU"/>
                            </w:rPr>
                            <w:t>1 ЭЗ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1" type="#_x0000_t202" style="position:absolute;margin-left:342.94999999999999pt;margin-top:560.pt;width:24.699999999999999pt;height:7.2000000000000002pt;z-index:-1887436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2"/>
                        <w:szCs w:val="22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auto"/>
                        <w:lang w:val="ru-RU" w:eastAsia="ru-RU" w:bidi="ru-RU"/>
                      </w:rPr>
                      <w:t>1 ЭЗ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0" behindDoc="1" locked="0" layoutInCell="1" allowOverlap="1">
              <wp:simplePos x="0" y="0"/>
              <wp:positionH relativeFrom="page">
                <wp:posOffset>4355465</wp:posOffset>
              </wp:positionH>
              <wp:positionV relativeFrom="page">
                <wp:posOffset>7112000</wp:posOffset>
              </wp:positionV>
              <wp:extent cx="313690" cy="91440"/>
              <wp:wrapNone/>
              <wp:docPr id="567" name="Shape 5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auto"/>
                              <w:lang w:val="ru-RU" w:eastAsia="ru-RU" w:bidi="ru-RU"/>
                            </w:rPr>
                            <w:t>1 ЭЗ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3" type="#_x0000_t202" style="position:absolute;margin-left:342.94999999999999pt;margin-top:560.pt;width:24.699999999999999pt;height:7.2000000000000002pt;z-index:-1887436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2"/>
                        <w:szCs w:val="22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auto"/>
                        <w:lang w:val="ru-RU" w:eastAsia="ru-RU" w:bidi="ru-RU"/>
                      </w:rPr>
                      <w:t>1 ЭЗ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2" behindDoc="1" locked="0" layoutInCell="1" allowOverlap="1">
              <wp:simplePos x="0" y="0"/>
              <wp:positionH relativeFrom="page">
                <wp:posOffset>1009015</wp:posOffset>
              </wp:positionH>
              <wp:positionV relativeFrom="page">
                <wp:posOffset>7089140</wp:posOffset>
              </wp:positionV>
              <wp:extent cx="311150" cy="94615"/>
              <wp:wrapNone/>
              <wp:docPr id="570" name="Shape 5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S4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6" type="#_x0000_t202" style="position:absolute;margin-left:79.450000000000003pt;margin-top:558.20000000000005pt;width:24.5pt;height:7.4500000000000002pt;z-index:-1887436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S4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4" behindDoc="1" locked="0" layoutInCell="1" allowOverlap="1">
              <wp:simplePos x="0" y="0"/>
              <wp:positionH relativeFrom="page">
                <wp:posOffset>1009015</wp:posOffset>
              </wp:positionH>
              <wp:positionV relativeFrom="page">
                <wp:posOffset>7089140</wp:posOffset>
              </wp:positionV>
              <wp:extent cx="311150" cy="94615"/>
              <wp:wrapNone/>
              <wp:docPr id="572" name="Shape 5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S4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8" type="#_x0000_t202" style="position:absolute;margin-left:79.450000000000003pt;margin-top:558.20000000000005pt;width:24.5pt;height:7.4500000000000002pt;z-index:-1887436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S4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6" behindDoc="1" locked="0" layoutInCell="1" allowOverlap="1">
              <wp:simplePos x="0" y="0"/>
              <wp:positionH relativeFrom="page">
                <wp:posOffset>3919855</wp:posOffset>
              </wp:positionH>
              <wp:positionV relativeFrom="page">
                <wp:posOffset>7211695</wp:posOffset>
              </wp:positionV>
              <wp:extent cx="313690" cy="94615"/>
              <wp:wrapNone/>
              <wp:docPr id="575" name="Shape 5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1 95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1" type="#_x0000_t202" style="position:absolute;margin-left:308.65000000000003pt;margin-top:567.85000000000002pt;width:24.699999999999999pt;height:7.4500000000000002pt;z-index:-1887436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1 95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8" behindDoc="1" locked="0" layoutInCell="1" allowOverlap="1">
              <wp:simplePos x="0" y="0"/>
              <wp:positionH relativeFrom="page">
                <wp:posOffset>3919855</wp:posOffset>
              </wp:positionH>
              <wp:positionV relativeFrom="page">
                <wp:posOffset>7211695</wp:posOffset>
              </wp:positionV>
              <wp:extent cx="313690" cy="94615"/>
              <wp:wrapNone/>
              <wp:docPr id="577" name="Shape 5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1 95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3" type="#_x0000_t202" style="position:absolute;margin-left:308.65000000000003pt;margin-top:567.85000000000002pt;width:24.699999999999999pt;height:7.4500000000000002pt;z-index:-1887436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1 95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0" behindDoc="1" locked="0" layoutInCell="1" allowOverlap="1">
              <wp:simplePos x="0" y="0"/>
              <wp:positionH relativeFrom="page">
                <wp:posOffset>1116965</wp:posOffset>
              </wp:positionH>
              <wp:positionV relativeFrom="page">
                <wp:posOffset>7187565</wp:posOffset>
              </wp:positionV>
              <wp:extent cx="311150" cy="94615"/>
              <wp:wrapNone/>
              <wp:docPr id="581" name="Shape 5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1S6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7" type="#_x0000_t202" style="position:absolute;margin-left:87.950000000000003pt;margin-top:565.95000000000005pt;width:24.5pt;height:7.4500000000000002pt;z-index:-1887436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1S6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2" behindDoc="1" locked="0" layoutInCell="1" allowOverlap="1">
              <wp:simplePos x="0" y="0"/>
              <wp:positionH relativeFrom="page">
                <wp:posOffset>1116965</wp:posOffset>
              </wp:positionH>
              <wp:positionV relativeFrom="page">
                <wp:posOffset>7187565</wp:posOffset>
              </wp:positionV>
              <wp:extent cx="311150" cy="94615"/>
              <wp:wrapNone/>
              <wp:docPr id="583" name="Shape 5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115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1S6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9" type="#_x0000_t202" style="position:absolute;margin-left:87.950000000000003pt;margin-top:565.95000000000005pt;width:24.5pt;height:7.4500000000000002pt;z-index:-1887436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1S6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2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2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4" behindDoc="1" locked="0" layoutInCell="1" allowOverlap="1">
              <wp:simplePos x="0" y="0"/>
              <wp:positionH relativeFrom="page">
                <wp:posOffset>1085215</wp:posOffset>
              </wp:positionH>
              <wp:positionV relativeFrom="page">
                <wp:posOffset>7033895</wp:posOffset>
              </wp:positionV>
              <wp:extent cx="313690" cy="91440"/>
              <wp:wrapNone/>
              <wp:docPr id="587" name="Shape 5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ЭВ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3" type="#_x0000_t202" style="position:absolute;margin-left:85.450000000000003pt;margin-top:553.85000000000002pt;width:24.699999999999999pt;height:7.2000000000000002pt;z-index:-1887435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ЭВ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6" behindDoc="1" locked="0" layoutInCell="1" allowOverlap="1">
              <wp:simplePos x="0" y="0"/>
              <wp:positionH relativeFrom="page">
                <wp:posOffset>1085215</wp:posOffset>
              </wp:positionH>
              <wp:positionV relativeFrom="page">
                <wp:posOffset>7033895</wp:posOffset>
              </wp:positionV>
              <wp:extent cx="313690" cy="91440"/>
              <wp:wrapNone/>
              <wp:docPr id="589" name="Shape 5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369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1 ЭВ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5" type="#_x0000_t202" style="position:absolute;margin-left:85.450000000000003pt;margin-top:553.85000000000002pt;width:24.699999999999999pt;height:7.2000000000000002pt;z-index:-1887435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1 ЭВ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8" behindDoc="1" locked="0" layoutInCell="1" allowOverlap="1">
              <wp:simplePos x="0" y="0"/>
              <wp:positionH relativeFrom="page">
                <wp:posOffset>4337050</wp:posOffset>
              </wp:positionH>
              <wp:positionV relativeFrom="page">
                <wp:posOffset>7057390</wp:posOffset>
              </wp:positionV>
              <wp:extent cx="316865" cy="91440"/>
              <wp:wrapNone/>
              <wp:docPr id="591" name="Shape 5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686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SS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7" type="#_x0000_t202" style="position:absolute;margin-left:341.5pt;margin-top:555.70000000000005pt;width:24.949999999999999pt;height:7.2000000000000002pt;z-index:-1887435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SS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0" behindDoc="1" locked="0" layoutInCell="1" allowOverlap="1">
              <wp:simplePos x="0" y="0"/>
              <wp:positionH relativeFrom="page">
                <wp:posOffset>4337050</wp:posOffset>
              </wp:positionH>
              <wp:positionV relativeFrom="page">
                <wp:posOffset>7057390</wp:posOffset>
              </wp:positionV>
              <wp:extent cx="316865" cy="91440"/>
              <wp:wrapNone/>
              <wp:docPr id="593" name="Shape 5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686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 xml:space="preserve">1 </w:t>
                          </w: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en-US" w:eastAsia="en-US" w:bidi="en-US"/>
                            </w:rPr>
                            <w:t>SS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9" type="#_x0000_t202" style="position:absolute;margin-left:341.5pt;margin-top:555.70000000000005pt;width:24.949999999999999pt;height:7.2000000000000002pt;z-index:-1887435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 xml:space="preserve">1 </w:t>
                    </w: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en-US" w:eastAsia="en-US" w:bidi="en-US"/>
                      </w:rPr>
                      <w:t>SS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2" behindDoc="1" locked="0" layoutInCell="1" allowOverlap="1">
              <wp:simplePos x="0" y="0"/>
              <wp:positionH relativeFrom="page">
                <wp:posOffset>4314190</wp:posOffset>
              </wp:positionH>
              <wp:positionV relativeFrom="page">
                <wp:posOffset>7098665</wp:posOffset>
              </wp:positionV>
              <wp:extent cx="304800" cy="94615"/>
              <wp:wrapNone/>
              <wp:docPr id="597" name="Shape 5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480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3" type="#_x0000_t202" style="position:absolute;margin-left:339.69999999999999pt;margin-top:558.95000000000005pt;width:24.pt;height:7.4500000000000002pt;z-index:-1887435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4" behindDoc="1" locked="0" layoutInCell="1" allowOverlap="1">
              <wp:simplePos x="0" y="0"/>
              <wp:positionH relativeFrom="page">
                <wp:posOffset>1214120</wp:posOffset>
              </wp:positionH>
              <wp:positionV relativeFrom="page">
                <wp:posOffset>7075805</wp:posOffset>
              </wp:positionV>
              <wp:extent cx="332105" cy="91440"/>
              <wp:wrapNone/>
              <wp:docPr id="599" name="Shape 5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3210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5" type="#_x0000_t202" style="position:absolute;margin-left:95.600000000000009pt;margin-top:557.14999999999998pt;width:26.150000000000002pt;height:7.2000000000000002pt;z-index:-1887435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6" behindDoc="1" locked="0" layoutInCell="1" allowOverlap="1">
              <wp:simplePos x="0" y="0"/>
              <wp:positionH relativeFrom="page">
                <wp:posOffset>1141095</wp:posOffset>
              </wp:positionH>
              <wp:positionV relativeFrom="page">
                <wp:posOffset>7076440</wp:posOffset>
              </wp:positionV>
              <wp:extent cx="328930" cy="94615"/>
              <wp:wrapNone/>
              <wp:docPr id="603" name="Shape 6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2893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2ОБ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9" type="#_x0000_t202" style="position:absolute;margin-left:89.850000000000009pt;margin-top:557.20000000000005pt;width:25.900000000000002pt;height:7.4500000000000002pt;z-index:-1887435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2ОБ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8" behindDoc="1" locked="0" layoutInCell="1" allowOverlap="1">
              <wp:simplePos x="0" y="0"/>
              <wp:positionH relativeFrom="page">
                <wp:posOffset>1141095</wp:posOffset>
              </wp:positionH>
              <wp:positionV relativeFrom="page">
                <wp:posOffset>7076440</wp:posOffset>
              </wp:positionV>
              <wp:extent cx="328930" cy="94615"/>
              <wp:wrapNone/>
              <wp:docPr id="605" name="Shape 6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2893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2ОБ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1" type="#_x0000_t202" style="position:absolute;margin-left:89.850000000000009pt;margin-top:557.20000000000005pt;width:25.900000000000002pt;height:7.4500000000000002pt;z-index:-1887435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2ОБ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0" behindDoc="1" locked="0" layoutInCell="1" allowOverlap="1">
              <wp:simplePos x="0" y="0"/>
              <wp:positionH relativeFrom="page">
                <wp:posOffset>4314190</wp:posOffset>
              </wp:positionH>
              <wp:positionV relativeFrom="page">
                <wp:posOffset>7098665</wp:posOffset>
              </wp:positionV>
              <wp:extent cx="304800" cy="94615"/>
              <wp:wrapNone/>
              <wp:docPr id="607" name="Shape 6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480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3" type="#_x0000_t202" style="position:absolute;margin-left:339.69999999999999pt;margin-top:558.95000000000005pt;width:24.pt;height:7.4500000000000002pt;z-index:-1887435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2" behindDoc="1" locked="0" layoutInCell="1" allowOverlap="1">
              <wp:simplePos x="0" y="0"/>
              <wp:positionH relativeFrom="page">
                <wp:posOffset>4314190</wp:posOffset>
              </wp:positionH>
              <wp:positionV relativeFrom="page">
                <wp:posOffset>7098665</wp:posOffset>
              </wp:positionV>
              <wp:extent cx="304800" cy="94615"/>
              <wp:wrapNone/>
              <wp:docPr id="609" name="Shape 6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480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5" type="#_x0000_t202" style="position:absolute;margin-left:339.69999999999999pt;margin-top:558.95000000000005pt;width:24.pt;height:7.4500000000000002pt;z-index:-1887435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4" behindDoc="1" locked="0" layoutInCell="1" allowOverlap="1">
              <wp:simplePos x="0" y="0"/>
              <wp:positionH relativeFrom="page">
                <wp:posOffset>4314190</wp:posOffset>
              </wp:positionH>
              <wp:positionV relativeFrom="page">
                <wp:posOffset>7098665</wp:posOffset>
              </wp:positionV>
              <wp:extent cx="304800" cy="94615"/>
              <wp:wrapNone/>
              <wp:docPr id="611" name="Shape 6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480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7" type="#_x0000_t202" style="position:absolute;margin-left:339.69999999999999pt;margin-top:558.95000000000005pt;width:24.pt;height:7.4500000000000002pt;z-index:-1887435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6" behindDoc="1" locked="0" layoutInCell="1" allowOverlap="1">
              <wp:simplePos x="0" y="0"/>
              <wp:positionH relativeFrom="page">
                <wp:posOffset>4314190</wp:posOffset>
              </wp:positionH>
              <wp:positionV relativeFrom="page">
                <wp:posOffset>7098665</wp:posOffset>
              </wp:positionV>
              <wp:extent cx="304800" cy="94615"/>
              <wp:wrapNone/>
              <wp:docPr id="613" name="Shape 6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480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9" type="#_x0000_t202" style="position:absolute;margin-left:339.69999999999999pt;margin-top:558.95000000000005pt;width:24.pt;height:7.4500000000000002pt;z-index:-1887435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8" behindDoc="1" locked="0" layoutInCell="1" allowOverlap="1">
              <wp:simplePos x="0" y="0"/>
              <wp:positionH relativeFrom="page">
                <wp:posOffset>1214120</wp:posOffset>
              </wp:positionH>
              <wp:positionV relativeFrom="page">
                <wp:posOffset>7075805</wp:posOffset>
              </wp:positionV>
              <wp:extent cx="332105" cy="91440"/>
              <wp:wrapNone/>
              <wp:docPr id="615" name="Shape 6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3210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1" type="#_x0000_t202" style="position:absolute;margin-left:95.600000000000009pt;margin-top:557.14999999999998pt;width:26.150000000000002pt;height:7.2000000000000002pt;z-index:-1887435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0" behindDoc="1" locked="0" layoutInCell="1" allowOverlap="1">
              <wp:simplePos x="0" y="0"/>
              <wp:positionH relativeFrom="page">
                <wp:posOffset>1214120</wp:posOffset>
              </wp:positionH>
              <wp:positionV relativeFrom="page">
                <wp:posOffset>7075805</wp:posOffset>
              </wp:positionV>
              <wp:extent cx="332105" cy="91440"/>
              <wp:wrapNone/>
              <wp:docPr id="617" name="Shape 6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3210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3" type="#_x0000_t202" style="position:absolute;margin-left:95.600000000000009pt;margin-top:557.14999999999998pt;width:26.150000000000002pt;height:7.2000000000000002pt;z-index:-1887435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2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2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2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2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6" behindDoc="1" locked="0" layoutInCell="1" allowOverlap="1">
              <wp:simplePos x="0" y="0"/>
              <wp:positionH relativeFrom="page">
                <wp:posOffset>4314190</wp:posOffset>
              </wp:positionH>
              <wp:positionV relativeFrom="page">
                <wp:posOffset>7098665</wp:posOffset>
              </wp:positionV>
              <wp:extent cx="304800" cy="94615"/>
              <wp:wrapNone/>
              <wp:docPr id="623" name="Shape 6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480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9" type="#_x0000_t202" style="position:absolute;margin-left:339.69999999999999pt;margin-top:558.95000000000005pt;width:24.pt;height:7.4500000000000002pt;z-index:-1887435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8" behindDoc="1" locked="0" layoutInCell="1" allowOverlap="1">
              <wp:simplePos x="0" y="0"/>
              <wp:positionH relativeFrom="page">
                <wp:posOffset>1214120</wp:posOffset>
              </wp:positionH>
              <wp:positionV relativeFrom="page">
                <wp:posOffset>7075805</wp:posOffset>
              </wp:positionV>
              <wp:extent cx="332105" cy="91440"/>
              <wp:wrapNone/>
              <wp:docPr id="625" name="Shape 6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3210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1" type="#_x0000_t202" style="position:absolute;margin-left:95.600000000000009pt;margin-top:557.14999999999998pt;width:26.150000000000002pt;height:7.2000000000000002pt;z-index:-1887435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2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2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0" behindDoc="1" locked="0" layoutInCell="1" allowOverlap="1">
              <wp:simplePos x="0" y="0"/>
              <wp:positionH relativeFrom="page">
                <wp:posOffset>4314190</wp:posOffset>
              </wp:positionH>
              <wp:positionV relativeFrom="page">
                <wp:posOffset>7098665</wp:posOffset>
              </wp:positionV>
              <wp:extent cx="304800" cy="94615"/>
              <wp:wrapNone/>
              <wp:docPr id="627" name="Shape 6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480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3" type="#_x0000_t202" style="position:absolute;margin-left:339.69999999999999pt;margin-top:558.95000000000005pt;width:24.pt;height:7.4500000000000002pt;z-index:-1887435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2" behindDoc="1" locked="0" layoutInCell="1" allowOverlap="1">
              <wp:simplePos x="0" y="0"/>
              <wp:positionH relativeFrom="page">
                <wp:posOffset>4314190</wp:posOffset>
              </wp:positionH>
              <wp:positionV relativeFrom="page">
                <wp:posOffset>7098665</wp:posOffset>
              </wp:positionV>
              <wp:extent cx="304800" cy="94615"/>
              <wp:wrapNone/>
              <wp:docPr id="629" name="Shape 6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480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5" type="#_x0000_t202" style="position:absolute;margin-left:339.69999999999999pt;margin-top:558.95000000000005pt;width:24.pt;height:7.4500000000000002pt;z-index:-1887435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4" behindDoc="1" locked="0" layoutInCell="1" allowOverlap="1">
              <wp:simplePos x="0" y="0"/>
              <wp:positionH relativeFrom="page">
                <wp:posOffset>961390</wp:posOffset>
              </wp:positionH>
              <wp:positionV relativeFrom="page">
                <wp:posOffset>7059295</wp:posOffset>
              </wp:positionV>
              <wp:extent cx="332105" cy="91440"/>
              <wp:wrapNone/>
              <wp:docPr id="631" name="Shape 6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3210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21В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7" type="#_x0000_t202" style="position:absolute;margin-left:75.700000000000003pt;margin-top:555.85000000000002pt;width:26.150000000000002pt;height:7.2000000000000002pt;z-index:-1887435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21В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6" behindDoc="1" locked="0" layoutInCell="1" allowOverlap="1">
              <wp:simplePos x="0" y="0"/>
              <wp:positionH relativeFrom="page">
                <wp:posOffset>961390</wp:posOffset>
              </wp:positionH>
              <wp:positionV relativeFrom="page">
                <wp:posOffset>7059295</wp:posOffset>
              </wp:positionV>
              <wp:extent cx="332105" cy="91440"/>
              <wp:wrapNone/>
              <wp:docPr id="633" name="Shape 6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3210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21В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9" type="#_x0000_t202" style="position:absolute;margin-left:75.700000000000003pt;margin-top:555.85000000000002pt;width:26.150000000000002pt;height:7.2000000000000002pt;z-index:-1887435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21В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8" behindDoc="1" locked="0" layoutInCell="1" allowOverlap="1">
              <wp:simplePos x="0" y="0"/>
              <wp:positionH relativeFrom="page">
                <wp:posOffset>4314190</wp:posOffset>
              </wp:positionH>
              <wp:positionV relativeFrom="page">
                <wp:posOffset>7098665</wp:posOffset>
              </wp:positionV>
              <wp:extent cx="304800" cy="94615"/>
              <wp:wrapNone/>
              <wp:docPr id="635" name="Shape 6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480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1" type="#_x0000_t202" style="position:absolute;margin-left:339.69999999999999pt;margin-top:558.95000000000005pt;width:24.pt;height:7.4500000000000002pt;z-index:-1887435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0" behindDoc="1" locked="0" layoutInCell="1" allowOverlap="1">
              <wp:simplePos x="0" y="0"/>
              <wp:positionH relativeFrom="page">
                <wp:posOffset>4314190</wp:posOffset>
              </wp:positionH>
              <wp:positionV relativeFrom="page">
                <wp:posOffset>7098665</wp:posOffset>
              </wp:positionV>
              <wp:extent cx="304800" cy="94615"/>
              <wp:wrapNone/>
              <wp:docPr id="637" name="Shape 6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480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3" type="#_x0000_t202" style="position:absolute;margin-left:339.69999999999999pt;margin-top:558.95000000000005pt;width:24.pt;height:7.4500000000000002pt;z-index:-1887435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2" behindDoc="1" locked="0" layoutInCell="1" allowOverlap="1">
              <wp:simplePos x="0" y="0"/>
              <wp:positionH relativeFrom="page">
                <wp:posOffset>1214120</wp:posOffset>
              </wp:positionH>
              <wp:positionV relativeFrom="page">
                <wp:posOffset>7075805</wp:posOffset>
              </wp:positionV>
              <wp:extent cx="332105" cy="91440"/>
              <wp:wrapNone/>
              <wp:docPr id="639" name="Shape 6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3210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5" type="#_x0000_t202" style="position:absolute;margin-left:95.600000000000009pt;margin-top:557.14999999999998pt;width:26.150000000000002pt;height:7.2000000000000002pt;z-index:-1887435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4" behindDoc="1" locked="0" layoutInCell="1" allowOverlap="1">
              <wp:simplePos x="0" y="0"/>
              <wp:positionH relativeFrom="page">
                <wp:posOffset>1214120</wp:posOffset>
              </wp:positionH>
              <wp:positionV relativeFrom="page">
                <wp:posOffset>7075805</wp:posOffset>
              </wp:positionV>
              <wp:extent cx="332105" cy="91440"/>
              <wp:wrapNone/>
              <wp:docPr id="641" name="Shape 6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3210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7" type="#_x0000_t202" style="position:absolute;margin-left:95.600000000000009pt;margin-top:557.14999999999998pt;width:26.150000000000002pt;height:7.2000000000000002pt;z-index:-1887435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6" behindDoc="1" locked="0" layoutInCell="1" allowOverlap="1">
              <wp:simplePos x="0" y="0"/>
              <wp:positionH relativeFrom="page">
                <wp:posOffset>4062730</wp:posOffset>
              </wp:positionH>
              <wp:positionV relativeFrom="page">
                <wp:posOffset>7171690</wp:posOffset>
              </wp:positionV>
              <wp:extent cx="304800" cy="91440"/>
              <wp:wrapNone/>
              <wp:docPr id="643" name="Shape 6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480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□21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9" type="#_x0000_t202" style="position:absolute;margin-left:319.90000000000003pt;margin-top:564.70000000000005pt;width:24.pt;height:7.2000000000000002pt;z-index:-1887435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□21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8" behindDoc="1" locked="0" layoutInCell="1" allowOverlap="1">
              <wp:simplePos x="0" y="0"/>
              <wp:positionH relativeFrom="page">
                <wp:posOffset>4062730</wp:posOffset>
              </wp:positionH>
              <wp:positionV relativeFrom="page">
                <wp:posOffset>7171690</wp:posOffset>
              </wp:positionV>
              <wp:extent cx="304800" cy="91440"/>
              <wp:wrapNone/>
              <wp:docPr id="645" name="Shape 6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480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hd w:val="clear" w:color="auto" w:fill="auto"/>
                              <w:lang w:val="ru-RU" w:eastAsia="ru-RU" w:bidi="ru-RU"/>
                            </w:rPr>
                            <w:t>□21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1" type="#_x0000_t202" style="position:absolute;margin-left:319.90000000000003pt;margin-top:564.70000000000005pt;width:24.pt;height:7.2000000000000002pt;z-index:-1887435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spacing w:val="0"/>
                        <w:w w:val="100"/>
                        <w:position w:val="0"/>
                        <w:shd w:val="clear" w:color="auto" w:fill="auto"/>
                        <w:lang w:val="ru-RU" w:eastAsia="ru-RU" w:bidi="ru-RU"/>
                      </w:rPr>
                      <w:t>□21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0" behindDoc="1" locked="0" layoutInCell="1" allowOverlap="1">
              <wp:simplePos x="0" y="0"/>
              <wp:positionH relativeFrom="page">
                <wp:posOffset>1214120</wp:posOffset>
              </wp:positionH>
              <wp:positionV relativeFrom="page">
                <wp:posOffset>7075805</wp:posOffset>
              </wp:positionV>
              <wp:extent cx="332105" cy="91440"/>
              <wp:wrapNone/>
              <wp:docPr id="647" name="Shape 6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3210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3" type="#_x0000_t202" style="position:absolute;margin-left:95.600000000000009pt;margin-top:557.14999999999998pt;width:26.150000000000002pt;height:7.2000000000000002pt;z-index:-1887435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2" behindDoc="1" locked="0" layoutInCell="1" allowOverlap="1">
              <wp:simplePos x="0" y="0"/>
              <wp:positionH relativeFrom="page">
                <wp:posOffset>1214120</wp:posOffset>
              </wp:positionH>
              <wp:positionV relativeFrom="page">
                <wp:posOffset>7075805</wp:posOffset>
              </wp:positionV>
              <wp:extent cx="332105" cy="91440"/>
              <wp:wrapNone/>
              <wp:docPr id="649" name="Shape 6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3210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5" type="#_x0000_t202" style="position:absolute;margin-left:95.600000000000009pt;margin-top:557.14999999999998pt;width:26.150000000000002pt;height:7.2000000000000002pt;z-index:-1887435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4" behindDoc="1" locked="0" layoutInCell="1" allowOverlap="1">
              <wp:simplePos x="0" y="0"/>
              <wp:positionH relativeFrom="page">
                <wp:posOffset>4314190</wp:posOffset>
              </wp:positionH>
              <wp:positionV relativeFrom="page">
                <wp:posOffset>7098665</wp:posOffset>
              </wp:positionV>
              <wp:extent cx="304800" cy="94615"/>
              <wp:wrapNone/>
              <wp:docPr id="651" name="Shape 6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480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7" type="#_x0000_t202" style="position:absolute;margin-left:339.69999999999999pt;margin-top:558.95000000000005pt;width:24.pt;height:7.4500000000000002pt;z-index:-1887435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6" behindDoc="1" locked="0" layoutInCell="1" allowOverlap="1">
              <wp:simplePos x="0" y="0"/>
              <wp:positionH relativeFrom="page">
                <wp:posOffset>4314190</wp:posOffset>
              </wp:positionH>
              <wp:positionV relativeFrom="page">
                <wp:posOffset>7098665</wp:posOffset>
              </wp:positionV>
              <wp:extent cx="304800" cy="94615"/>
              <wp:wrapNone/>
              <wp:docPr id="653" name="Shape 6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480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9" type="#_x0000_t202" style="position:absolute;margin-left:339.69999999999999pt;margin-top:558.95000000000005pt;width:24.pt;height:7.4500000000000002pt;z-index:-1887435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2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2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8" behindDoc="1" locked="0" layoutInCell="1" allowOverlap="1">
              <wp:simplePos x="0" y="0"/>
              <wp:positionH relativeFrom="page">
                <wp:posOffset>4314190</wp:posOffset>
              </wp:positionH>
              <wp:positionV relativeFrom="page">
                <wp:posOffset>7098665</wp:posOffset>
              </wp:positionV>
              <wp:extent cx="304800" cy="94615"/>
              <wp:wrapNone/>
              <wp:docPr id="655" name="Shape 6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480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1" type="#_x0000_t202" style="position:absolute;margin-left:339.69999999999999pt;margin-top:558.95000000000005pt;width:24.pt;height:7.4500000000000002pt;z-index:-1887435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0" behindDoc="1" locked="0" layoutInCell="1" allowOverlap="1">
              <wp:simplePos x="0" y="0"/>
              <wp:positionH relativeFrom="page">
                <wp:posOffset>4314190</wp:posOffset>
              </wp:positionH>
              <wp:positionV relativeFrom="page">
                <wp:posOffset>7098665</wp:posOffset>
              </wp:positionV>
              <wp:extent cx="304800" cy="94615"/>
              <wp:wrapNone/>
              <wp:docPr id="657" name="Shape 6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480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spacing w:val="0"/>
                                <w:w w:val="100"/>
                                <w:position w:val="0"/>
                                <w:shd w:val="clear" w:color="auto" w:fill="auto"/>
                                <w:lang w:val="ru-RU" w:eastAsia="ru-RU" w:bidi="ru-RU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3" type="#_x0000_t202" style="position:absolute;margin-left:339.69999999999999pt;margin-top:558.95000000000005pt;width:24.pt;height:7.4500000000000002pt;z-index:-1887435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spacing w:val="0"/>
                          <w:w w:val="100"/>
                          <w:position w:val="0"/>
                          <w:shd w:val="clear" w:color="auto" w:fill="auto"/>
                          <w:lang w:val="ru-RU" w:eastAsia="ru-RU" w:bidi="ru-RU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2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notes.xml><?xml version="1.0" encoding="utf-8"?>
<w:footnot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footnote w:id="0" w:type="separator">
    <w:p>
      <w:r>
        <w:separator/>
      </w:r>
    </w:p>
  </w:footnote>
  <w:footnote w:id="1" w:type="continuationSeparator">
    <w:p>
      <w:r>
        <w:continuationSeparator/>
      </w:r>
    </w:p>
  </w:footnote>
  <w:footnote w:id="2"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62" w:lineRule="auto"/>
        <w:ind w:left="0" w:right="0" w:firstLine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footnoteRef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Единица измерения поглощенной дозы названа в честь английского физика Льюиса Гарольда Грея (1905-1965).</w:t>
      </w:r>
    </w:p>
  </w:footnote>
  <w:footnote w:id="3"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66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footnoteRef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Единица эквивалентной дозы названа в честь шведского радиофизика Роль</w:t>
        <w:softHyphen/>
      </w:r>
      <w:r>
        <w:rPr>
          <w:b/>
          <w:bCs/>
          <w:spacing w:val="0"/>
          <w:w w:val="100"/>
          <w:position w:val="0"/>
          <w:sz w:val="16"/>
          <w:szCs w:val="16"/>
          <w:shd w:val="clear" w:color="auto" w:fill="auto"/>
          <w:lang w:val="ru-RU" w:eastAsia="ru-RU" w:bidi="ru-RU"/>
        </w:rPr>
        <w:t xml:space="preserve">фа 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Максимилиана Зиверта (1896-1966).</w:t>
      </w:r>
    </w:p>
  </w:footnote>
  <w:footnote w:id="4"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footnoteRef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Аббревиатура слов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«rad equivalent for men».</w:t>
      </w:r>
    </w:p>
  </w:footnote>
  <w:footnote w:id="5"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40" w:line="266" w:lineRule="auto"/>
        <w:ind w:left="0" w:right="0" w:firstLine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footnoteRef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При внешнем воздействии </w:t>
      </w:r>
      <w:r>
        <w:rPr>
          <w:spacing w:val="0"/>
          <w:w w:val="100"/>
          <w:position w:val="0"/>
          <w:shd w:val="clear" w:color="auto" w:fill="auto"/>
          <w:lang w:val="en-US" w:eastAsia="en-US" w:bidi="en-US"/>
        </w:rPr>
        <w:t>a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-излучения лучевое поражение не может возник</w:t>
        <w:softHyphen/>
        <w:t>нуть вследствие очень низкой проникающей способности а-частиц.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9"/>
          <w:szCs w:val="19"/>
        </w:rPr>
      </w:pPr>
      <w:r>
        <w:rPr>
          <w:spacing w:val="0"/>
          <w:w w:val="100"/>
          <w:position w:val="0"/>
          <w:sz w:val="19"/>
          <w:szCs w:val="19"/>
          <w:shd w:val="clear" w:color="auto" w:fill="auto"/>
          <w:lang w:val="ru-RU" w:eastAsia="ru-RU" w:bidi="ru-RU"/>
        </w:rPr>
        <w:t>ВВ</w:t>
      </w:r>
    </w:p>
  </w:footnote>
  <w:footnote w:id="6"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66" w:lineRule="auto"/>
        <w:ind w:left="0" w:right="0" w:firstLine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footnoteRef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Напомним, что в рвотном центре и других центральных структурах, участвую</w:t>
        <w:softHyphen/>
        <w:t>щих в реализации рвотного рефлекса (хеморецепторная триггерная зона, чувстви</w:t>
        <w:softHyphen/>
        <w:t>тельное и двигательное ядра блуждающего и языкоглоточного нервов, вестибуляр</w:t>
        <w:softHyphen/>
        <w:t>ные ядра), находятся катехоламин-, гистамин- и серотонинсодержащие нейроны, а также пептидергические нейроны. В хеморецепторной триггерной зоне обнаружены рецепторы, чувствительные к дофамину, катехоламинам, гистамину, серотонину, опиоидным пептидам, простагландинам, в ядре солитарного тракта и вестибуляр</w:t>
        <w:softHyphen/>
        <w:t>ных ядрах — м-холинореактивные структуры.</w:t>
      </w:r>
    </w:p>
  </w:footnote>
  <w:footnote w:id="7"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66" w:lineRule="auto"/>
        <w:ind w:left="0" w:right="0" w:firstLine="36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footnoteRef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На тканевом уровне коэффициент ОБЭ для нейтронов спектра деления по воздействию на костный мозг и эпителий желудочно-кишечного тракта в 10 раз пре</w:t>
        <w:softHyphen/>
        <w:t>восходит рентгеновское излучение и в 2-4 раза — у-излучение.</w:t>
      </w:r>
    </w:p>
  </w:footnote>
  <w:footnote w:id="8"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66" w:lineRule="auto"/>
        <w:ind w:left="44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footnoteRef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При поступлении в организм урана вредные эффекты возможны также за счет токсического воздействия этого химического элемента на почки.</w:t>
      </w:r>
    </w:p>
  </w:footnote>
  <w:footnote w:id="9"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66" w:lineRule="auto"/>
        <w:ind w:left="0" w:right="0" w:firstLine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* Напомним, что единица радиоактивности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беккерель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(Бк) соответствует ко</w:t>
        <w:softHyphen/>
        <w:t>личеству радиоактивного вещества, в котором за 1 с происходит 1 распад. Внесис</w:t>
        <w:softHyphen/>
        <w:t xml:space="preserve">темная единица радиоактивности —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кюри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(Ки) равна 3,7 • 1О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10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Бк, что соответству</w:t>
        <w:softHyphen/>
        <w:t xml:space="preserve">ет активности 1 г радия. Еще одной внесистемной единицей активности является </w:t>
      </w:r>
      <w:r>
        <w:rPr>
          <w:i/>
          <w:iCs/>
          <w:spacing w:val="0"/>
          <w:w w:val="100"/>
          <w:position w:val="0"/>
          <w:shd w:val="clear" w:color="auto" w:fill="auto"/>
          <w:lang w:val="ru-RU" w:eastAsia="ru-RU" w:bidi="ru-RU"/>
        </w:rPr>
        <w:t>резерфорд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(Рд): 1 Рд = 10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6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Бк.</w:t>
      </w:r>
    </w:p>
  </w:footnote>
  <w:footnote w:id="10"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66" w:lineRule="auto"/>
        <w:ind w:left="340" w:right="0" w:firstLine="32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footnoteRef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боевых условиях приготовление пищи на открытой местности допускается при уровне радиации не более 1 Р/ч, при 1-5 Р/ч кухни следует развертывать в па</w:t>
        <w:softHyphen/>
        <w:t>латках, а если уровень радиации превышает 5 Р/ч, приготовление пищи допускает</w:t>
        <w:softHyphen/>
        <w:t>ся лишь в дезактивированных закрытых помещениях, территория вокруг которых должна быть также дезактивирована или хотя бы увлажнена. Прием пищи на откры</w:t>
        <w:softHyphen/>
        <w:t>той местности при уровне радиации более 5 Р/ч допускается лишь после дезактива</w:t>
        <w:softHyphen/>
        <w:t>ции и увлажнения территории.</w:t>
      </w:r>
    </w:p>
  </w:footnote>
  <w:footnote w:id="11"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66" w:lineRule="auto"/>
        <w:ind w:left="0" w:right="0" w:firstLine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footnoteRef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Площадь поражения более 150 см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(более «одной ладони»),</w:t>
      </w:r>
    </w:p>
  </w:footnote>
  <w:footnote w:id="12"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66" w:lineRule="auto"/>
        <w:ind w:left="260" w:right="0" w:firstLine="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>" Площадь поражения до 150 см</w:t>
      </w:r>
      <w:r>
        <w:rPr>
          <w:spacing w:val="0"/>
          <w:w w:val="100"/>
          <w:position w:val="0"/>
          <w:shd w:val="clear" w:color="auto" w:fill="auto"/>
          <w:vertAlign w:val="superscript"/>
          <w:lang w:val="ru-RU" w:eastAsia="ru-RU" w:bidi="ru-RU"/>
        </w:rPr>
        <w:t>2</w:t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(менее «одной ладони»), '** Размеры поражения на клинические проявления не влияют.</w:t>
      </w:r>
    </w:p>
  </w:footnote>
  <w:footnote w:id="13"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340"/>
        <w:jc w:val="both"/>
        <w:rPr>
          <w:sz w:val="22"/>
          <w:szCs w:val="22"/>
        </w:rPr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 xml:space="preserve">У ликвидаторов последствий аварии на Чернобыльской АЭС, подвергшихся воздействию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2"/>
          <w:szCs w:val="22"/>
          <w:shd w:val="clear" w:color="auto" w:fill="auto"/>
          <w:lang w:val="en-US" w:eastAsia="en-US" w:bidi="en-US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2"/>
          <w:szCs w:val="22"/>
          <w:shd w:val="clear" w:color="auto" w:fill="auto"/>
          <w:lang w:val="ru-RU" w:eastAsia="ru-RU" w:bidi="ru-RU"/>
        </w:rPr>
        <w:t>-излучения в дозах на уровне ба</w:t>
        <w:softHyphen/>
        <w:t>зального слоя эпидермиса порядка 9—12 Гр (кожа лица) и 12—30 Гр (другие участки тела), наблюдались только эритема и сухая десквамация, не требующие специального лечения. р-Об- лучение в дозах 30—60 Гр вызывало образование мелких пузы</w:t>
        <w:softHyphen/>
        <w:t>рей, слущивание эпидермиса, а при воздействии более высоких</w:t>
      </w:r>
    </w:p>
  </w:footnote>
  <w:footnote w:id="14"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76" w:lineRule="auto"/>
        <w:ind w:left="0" w:right="0" w:firstLine="340"/>
        <w:jc w:val="both"/>
      </w:pP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footnoteRef/>
      </w:r>
      <w:r>
        <w:rPr>
          <w:spacing w:val="0"/>
          <w:w w:val="100"/>
          <w:position w:val="0"/>
          <w:shd w:val="clear" w:color="auto" w:fill="auto"/>
          <w:lang w:val="ru-RU" w:eastAsia="ru-RU" w:bidi="ru-RU"/>
        </w:rPr>
        <w:t xml:space="preserve"> В предлагаемых заданиях могут быть один, два, три и большее число правиль</w:t>
        <w:softHyphen/>
        <w:t>ных ответов. Необходимо отметить все правильные ответы.</w:t>
      </w:r>
    </w:p>
  </w:footnote>
</w:footnotes>
</file>

<file path=word/header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9" behindDoc="1" locked="0" layoutInCell="1" allowOverlap="1">
              <wp:simplePos x="0" y="0"/>
              <wp:positionH relativeFrom="page">
                <wp:posOffset>5266690</wp:posOffset>
              </wp:positionH>
              <wp:positionV relativeFrom="page">
                <wp:posOffset>74295</wp:posOffset>
              </wp:positionV>
              <wp:extent cx="67310" cy="57785"/>
              <wp:wrapNone/>
              <wp:docPr id="226" name="Shape 2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310" cy="577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b/>
                              <w:bCs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auto"/>
                              <w:lang w:val="ru-RU" w:eastAsia="ru-RU" w:bidi="ru-RU"/>
                            </w:rPr>
                            <w:t>■ч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2" type="#_x0000_t202" style="position:absolute;margin-left:414.69999999999999pt;margin-top:5.8500000000000005pt;width:5.2999999999999998pt;height:4.5499999999999998pt;z-index:-18874389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b/>
                        <w:bCs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auto"/>
                        <w:lang w:val="ru-RU" w:eastAsia="ru-RU" w:bidi="ru-RU"/>
                      </w:rPr>
                      <w:t>■ч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1" behindDoc="1" locked="0" layoutInCell="1" allowOverlap="1">
              <wp:simplePos x="0" y="0"/>
              <wp:positionH relativeFrom="page">
                <wp:posOffset>5266690</wp:posOffset>
              </wp:positionH>
              <wp:positionV relativeFrom="page">
                <wp:posOffset>74295</wp:posOffset>
              </wp:positionV>
              <wp:extent cx="67310" cy="57785"/>
              <wp:wrapNone/>
              <wp:docPr id="228" name="Shape 2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310" cy="577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b/>
                              <w:bCs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auto"/>
                              <w:lang w:val="ru-RU" w:eastAsia="ru-RU" w:bidi="ru-RU"/>
                            </w:rPr>
                            <w:t>■ч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4" type="#_x0000_t202" style="position:absolute;margin-left:414.69999999999999pt;margin-top:5.8500000000000005pt;width:5.2999999999999998pt;height:4.5499999999999998pt;z-index:-18874389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b/>
                        <w:bCs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auto"/>
                        <w:lang w:val="ru-RU" w:eastAsia="ru-RU" w:bidi="ru-RU"/>
                      </w:rPr>
                      <w:t>■ч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1" behindDoc="1" locked="0" layoutInCell="1" allowOverlap="1">
              <wp:simplePos x="0" y="0"/>
              <wp:positionH relativeFrom="page">
                <wp:posOffset>3736975</wp:posOffset>
              </wp:positionH>
              <wp:positionV relativeFrom="page">
                <wp:posOffset>697865</wp:posOffset>
              </wp:positionV>
              <wp:extent cx="530225" cy="91440"/>
              <wp:wrapNone/>
              <wp:docPr id="372" name="Shape 3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3022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i/>
                              <w:iCs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auto"/>
                              <w:lang w:val="ru-RU" w:eastAsia="ru-RU" w:bidi="ru-RU"/>
                            </w:rPr>
                            <w:t>Таблица 12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8" type="#_x0000_t202" style="position:absolute;margin-left:294.25pt;margin-top:54.950000000000003pt;width:41.75pt;height:7.2000000000000002pt;z-index:-18874377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i/>
                        <w:iCs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auto"/>
                        <w:lang w:val="ru-RU" w:eastAsia="ru-RU" w:bidi="ru-RU"/>
                      </w:rPr>
                      <w:t>Таблица 12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5" behindDoc="1" locked="0" layoutInCell="1" allowOverlap="1">
              <wp:simplePos x="0" y="0"/>
              <wp:positionH relativeFrom="page">
                <wp:posOffset>3736975</wp:posOffset>
              </wp:positionH>
              <wp:positionV relativeFrom="page">
                <wp:posOffset>697865</wp:posOffset>
              </wp:positionV>
              <wp:extent cx="530225" cy="91440"/>
              <wp:wrapNone/>
              <wp:docPr id="376" name="Shape 3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3022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i/>
                              <w:iCs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auto"/>
                              <w:lang w:val="ru-RU" w:eastAsia="ru-RU" w:bidi="ru-RU"/>
                            </w:rPr>
                            <w:t>Таблица 12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2" type="#_x0000_t202" style="position:absolute;margin-left:294.25pt;margin-top:54.950000000000003pt;width:41.75pt;height:7.2000000000000002pt;z-index:-18874376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i/>
                        <w:iCs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auto"/>
                        <w:lang w:val="ru-RU" w:eastAsia="ru-RU" w:bidi="ru-RU"/>
                      </w:rPr>
                      <w:t>Таблица 12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9" behindDoc="1" locked="0" layoutInCell="1" allowOverlap="1">
              <wp:simplePos x="0" y="0"/>
              <wp:positionH relativeFrom="page">
                <wp:posOffset>4585970</wp:posOffset>
              </wp:positionH>
              <wp:positionV relativeFrom="page">
                <wp:posOffset>579755</wp:posOffset>
              </wp:positionV>
              <wp:extent cx="530225" cy="91440"/>
              <wp:wrapNone/>
              <wp:docPr id="380" name="Shape 3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3022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i/>
                              <w:iCs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auto"/>
                              <w:lang w:val="ru-RU" w:eastAsia="ru-RU" w:bidi="ru-RU"/>
                            </w:rPr>
                            <w:t>Таблица 13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6" type="#_x0000_t202" style="position:absolute;margin-left:361.10000000000002pt;margin-top:45.649999999999999pt;width:41.75pt;height:7.2000000000000002pt;z-index:-18874376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i/>
                        <w:iCs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auto"/>
                        <w:lang w:val="ru-RU" w:eastAsia="ru-RU" w:bidi="ru-RU"/>
                      </w:rPr>
                      <w:t>Таблица 13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3" behindDoc="1" locked="0" layoutInCell="1" allowOverlap="1">
              <wp:simplePos x="0" y="0"/>
              <wp:positionH relativeFrom="page">
                <wp:posOffset>4585970</wp:posOffset>
              </wp:positionH>
              <wp:positionV relativeFrom="page">
                <wp:posOffset>579755</wp:posOffset>
              </wp:positionV>
              <wp:extent cx="530225" cy="91440"/>
              <wp:wrapNone/>
              <wp:docPr id="384" name="Shape 3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3022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i/>
                              <w:iCs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auto"/>
                              <w:lang w:val="ru-RU" w:eastAsia="ru-RU" w:bidi="ru-RU"/>
                            </w:rPr>
                            <w:t>Таблица 13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0" type="#_x0000_t202" style="position:absolute;margin-left:361.10000000000002pt;margin-top:45.649999999999999pt;width:41.75pt;height:7.2000000000000002pt;z-index:-18874376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i/>
                        <w:iCs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auto"/>
                        <w:lang w:val="ru-RU" w:eastAsia="ru-RU" w:bidi="ru-RU"/>
                      </w:rPr>
                      <w:t>Таблица 13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6" behindDoc="1" locked="0" layoutInCell="1" allowOverlap="1">
              <wp:simplePos x="0" y="0"/>
              <wp:positionH relativeFrom="page">
                <wp:posOffset>6576060</wp:posOffset>
              </wp:positionH>
              <wp:positionV relativeFrom="page">
                <wp:posOffset>1069975</wp:posOffset>
              </wp:positionV>
              <wp:extent cx="533400" cy="91440"/>
              <wp:wrapNone/>
              <wp:docPr id="493" name="Shape 4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3340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i/>
                              <w:iCs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auto"/>
                              <w:lang w:val="ru-RU" w:eastAsia="ru-RU" w:bidi="ru-RU"/>
                            </w:rPr>
                            <w:t>Таблица 19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9" type="#_x0000_t202" style="position:absolute;margin-left:517.79999999999995pt;margin-top:84.25pt;width:42.pt;height:7.2000000000000002pt;z-index:-1887436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i/>
                        <w:iCs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auto"/>
                        <w:lang w:val="ru-RU" w:eastAsia="ru-RU" w:bidi="ru-RU"/>
                      </w:rPr>
                      <w:t>Таблица 19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8" behindDoc="1" locked="0" layoutInCell="1" allowOverlap="1">
              <wp:simplePos x="0" y="0"/>
              <wp:positionH relativeFrom="page">
                <wp:posOffset>6576060</wp:posOffset>
              </wp:positionH>
              <wp:positionV relativeFrom="page">
                <wp:posOffset>1069975</wp:posOffset>
              </wp:positionV>
              <wp:extent cx="533400" cy="91440"/>
              <wp:wrapNone/>
              <wp:docPr id="495" name="Shape 4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3340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i/>
                              <w:iCs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auto"/>
                              <w:lang w:val="ru-RU" w:eastAsia="ru-RU" w:bidi="ru-RU"/>
                            </w:rPr>
                            <w:t>Таблица 19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1" type="#_x0000_t202" style="position:absolute;margin-left:517.79999999999995pt;margin-top:84.25pt;width:42.pt;height:7.2000000000000002pt;z-index:-1887436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i/>
                        <w:iCs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auto"/>
                        <w:lang w:val="ru-RU" w:eastAsia="ru-RU" w:bidi="ru-RU"/>
                      </w:rPr>
                      <w:t>Таблица 19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2" behindDoc="1" locked="0" layoutInCell="1" allowOverlap="1">
              <wp:simplePos x="0" y="0"/>
              <wp:positionH relativeFrom="page">
                <wp:posOffset>1151255</wp:posOffset>
              </wp:positionH>
              <wp:positionV relativeFrom="page">
                <wp:posOffset>1348740</wp:posOffset>
              </wp:positionV>
              <wp:extent cx="3435350" cy="125095"/>
              <wp:wrapNone/>
              <wp:docPr id="619" name="Shape 6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43535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shd w:val="clear" w:color="auto" w:fill="auto"/>
                              <w:lang w:val="ru-RU" w:eastAsia="ru-RU" w:bidi="ru-RU"/>
                            </w:rPr>
                            <w:t>ОТВЕТЫ НА ТЕСТОВЫЕ ЗАДАНИЯ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5" type="#_x0000_t202" style="position:absolute;margin-left:90.650000000000006pt;margin-top:106.2pt;width:270.5pt;height:9.8499999999999996pt;z-index:-1887435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spacing w:val="0"/>
                        <w:w w:val="100"/>
                        <w:position w:val="0"/>
                        <w:sz w:val="20"/>
                        <w:szCs w:val="20"/>
                        <w:shd w:val="clear" w:color="auto" w:fill="auto"/>
                        <w:lang w:val="ru-RU" w:eastAsia="ru-RU" w:bidi="ru-RU"/>
                      </w:rPr>
                      <w:t>ОТВЕТЫ НА ТЕСТОВЫЕ ЗАДАНИЯ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4" behindDoc="1" locked="0" layoutInCell="1" allowOverlap="1">
              <wp:simplePos x="0" y="0"/>
              <wp:positionH relativeFrom="page">
                <wp:posOffset>1151255</wp:posOffset>
              </wp:positionH>
              <wp:positionV relativeFrom="page">
                <wp:posOffset>1348740</wp:posOffset>
              </wp:positionV>
              <wp:extent cx="3435350" cy="125095"/>
              <wp:wrapNone/>
              <wp:docPr id="621" name="Shape 6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43535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6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shd w:val="clear" w:color="auto" w:fill="auto"/>
                              <w:lang w:val="ru-RU" w:eastAsia="ru-RU" w:bidi="ru-RU"/>
                            </w:rPr>
                            <w:t>ОТВЕТЫ НА ТЕСТОВЫЕ ЗАДАНИЯ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7" type="#_x0000_t202" style="position:absolute;margin-left:90.650000000000006pt;margin-top:106.2pt;width:270.5pt;height:9.8499999999999996pt;z-index:-1887435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6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spacing w:val="0"/>
                        <w:w w:val="100"/>
                        <w:position w:val="0"/>
                        <w:sz w:val="20"/>
                        <w:szCs w:val="20"/>
                        <w:shd w:val="clear" w:color="auto" w:fill="auto"/>
                        <w:lang w:val="ru-RU" w:eastAsia="ru-RU" w:bidi="ru-RU"/>
                      </w:rPr>
                      <w:t>ОТВЕТЫ НА ТЕСТОВЫЕ ЗАДАНИЯ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numbering.xml><?xml version="1.0" encoding="utf-8"?>
<w:numbering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abstractNum w:abstractNumId="0">
    <w:multiLevelType w:val="multilevel"/>
    <w:lvl w:ilvl="0">
      <w:start w:val="1"/>
      <w:numFmt w:val="decimal"/>
      <w:lvlText w:val="%1."/>
    </w:lvl>
    <w:lvl w:ilvl="1">
      <w:start w:val="1"/>
      <w:numFmt w:val="decimal"/>
      <w:lvlText w:val="%1.%2.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15"/>
        <w:szCs w:val="15"/>
        <w:u w:val="none"/>
        <w:shd w:val="clear" w:color="auto" w:fill="auto"/>
        <w:lang w:val="ru-RU" w:eastAsia="ru-RU" w:bidi="ru-RU"/>
      </w:rPr>
    </w:lvl>
  </w:abstractNum>
  <w:abstractNum w:abstractNumId="2">
    <w:multiLevelType w:val="multilevel"/>
    <w:lvl w:ilvl="0">
      <w:start w:val="2"/>
      <w:numFmt w:val="decimal"/>
      <w:lvlText w:val="%1."/>
    </w:lvl>
    <w:lvl w:ilvl="1">
      <w:start w:val="1"/>
      <w:numFmt w:val="decimal"/>
      <w:lvlText w:val="%1.%2."/>
      <w:rPr>
        <w:rFonts w:ascii="Arial" w:eastAsia="Arial" w:hAnsi="Arial" w:cs="Arial"/>
        <w:b w:val="0"/>
        <w:bCs w:val="0"/>
        <w:i/>
        <w:iCs/>
        <w:smallCaps w:val="0"/>
        <w:strike w:val="0"/>
        <w:color w:val="4B4B4B"/>
        <w:spacing w:val="0"/>
        <w:w w:val="100"/>
        <w:position w:val="0"/>
        <w:sz w:val="15"/>
        <w:szCs w:val="15"/>
        <w:u w:val="none"/>
        <w:shd w:val="clear" w:color="auto" w:fill="auto"/>
        <w:lang w:val="ru-RU" w:eastAsia="ru-RU" w:bidi="ru-RU"/>
      </w:rPr>
    </w:lvl>
  </w:abstractNum>
  <w:abstractNum w:abstractNumId="4">
    <w:multiLevelType w:val="multilevel"/>
    <w:lvl w:ilvl="0">
      <w:start w:val="3"/>
      <w:numFmt w:val="decimal"/>
      <w:lvlText w:val="%1."/>
    </w:lvl>
    <w:lvl w:ilvl="1">
      <w:start w:val="1"/>
      <w:numFmt w:val="decimal"/>
      <w:lvlText w:val="%1.%2.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15"/>
        <w:szCs w:val="15"/>
        <w:u w:val="none"/>
        <w:shd w:val="clear" w:color="auto" w:fill="auto"/>
        <w:lang w:val="ru-RU" w:eastAsia="ru-RU" w:bidi="ru-RU"/>
      </w:rPr>
    </w:lvl>
  </w:abstractNum>
  <w:abstractNum w:abstractNumId="6">
    <w:multiLevelType w:val="multilevel"/>
    <w:lvl w:ilvl="0">
      <w:start w:val="4"/>
      <w:numFmt w:val="decimal"/>
      <w:lvlText w:val="%1."/>
    </w:lvl>
    <w:lvl w:ilvl="1">
      <w:start w:val="1"/>
      <w:numFmt w:val="decimal"/>
      <w:lvlText w:val="%1.%2.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15"/>
        <w:szCs w:val="15"/>
        <w:u w:val="none"/>
        <w:shd w:val="clear" w:color="auto" w:fill="auto"/>
        <w:lang w:val="ru-RU" w:eastAsia="ru-RU" w:bidi="ru-RU"/>
      </w:rPr>
    </w:lvl>
  </w:abstractNum>
  <w:abstractNum w:abstractNumId="8">
    <w:multiLevelType w:val="multilevel"/>
    <w:lvl w:ilvl="0">
      <w:start w:val="8"/>
      <w:numFmt w:val="decimal"/>
      <w:lvlText w:val="%1."/>
    </w:lvl>
    <w:lvl w:ilvl="1">
      <w:start w:val="1"/>
      <w:numFmt w:val="decimal"/>
      <w:lvlText w:val="%1.%2.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15"/>
        <w:szCs w:val="15"/>
        <w:u w:val="none"/>
        <w:shd w:val="clear" w:color="auto" w:fill="auto"/>
        <w:lang w:val="ru-RU" w:eastAsia="ru-RU" w:bidi="ru-RU"/>
      </w:rPr>
    </w:lvl>
  </w:abstractNum>
  <w:abstractNum w:abstractNumId="10">
    <w:multiLevelType w:val="multilevel"/>
    <w:lvl w:ilvl="0">
      <w:start w:val="6"/>
      <w:numFmt w:val="decimal"/>
      <w:lvlText w:val="%1."/>
    </w:lvl>
    <w:lvl w:ilvl="1">
      <w:start w:val="1"/>
      <w:numFmt w:val="decimal"/>
      <w:lvlText w:val="%1.%2.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15"/>
        <w:szCs w:val="15"/>
        <w:u w:val="none"/>
        <w:shd w:val="clear" w:color="auto" w:fill="auto"/>
        <w:lang w:val="ru-RU" w:eastAsia="ru-RU" w:bidi="ru-RU"/>
      </w:rPr>
    </w:lvl>
  </w:abstractNum>
  <w:abstractNum w:abstractNumId="12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4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6">
    <w:multiLevelType w:val="multilevel"/>
    <w:lvl w:ilvl="0">
      <w:start w:val="1"/>
      <w:numFmt w:val="decimal"/>
      <w:lvlText w:val="%1."/>
    </w:lvl>
    <w:lvl w:ilvl="1">
      <w:start w:val="1"/>
      <w:numFmt w:val="decimal"/>
      <w:lvlText w:val="%1.%2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8">
    <w:multiLevelType w:val="multilevel"/>
    <w:lvl w:ilvl="0">
      <w:start w:val="1"/>
      <w:numFmt w:val="bullet"/>
      <w:lvlText w:val="♦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20">
    <w:multiLevelType w:val="multilevel"/>
    <w:lvl w:ilvl="0">
      <w:start w:val="1"/>
      <w:numFmt w:val="decimal"/>
      <w:lvlText w:val="%1."/>
    </w:lvl>
    <w:lvl w:ilvl="1">
      <w:start w:val="2"/>
      <w:numFmt w:val="decimal"/>
      <w:lvlText w:val="%1.%2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22">
    <w:multiLevelType w:val="multilevel"/>
    <w:lvl w:ilvl="0">
      <w:start w:val="1"/>
      <w:numFmt w:val="decimal"/>
      <w:lvlText w:val="%1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17"/>
        <w:szCs w:val="17"/>
        <w:u w:val="none"/>
        <w:shd w:val="clear" w:color="auto" w:fill="auto"/>
        <w:lang w:val="ru-RU" w:eastAsia="ru-RU" w:bidi="ru-RU"/>
      </w:rPr>
    </w:lvl>
    <w:lvl w:ilvl="1">
      <w:start w:val="4"/>
      <w:numFmt w:val="decimal"/>
      <w:lvlText w:val="%1.%2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24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26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28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30">
    <w:multiLevelType w:val="multilevel"/>
    <w:lvl w:ilvl="0">
      <w:start w:val="1"/>
      <w:numFmt w:val="bullet"/>
      <w:lvlText w:val="♦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32">
    <w:multiLevelType w:val="multilevel"/>
    <w:lvl w:ilvl="0">
      <w:start w:val="1"/>
      <w:numFmt w:val="bullet"/>
      <w:lvlText w:val="♦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34">
    <w:multiLevelType w:val="multilevel"/>
    <w:lvl w:ilvl="0">
      <w:start w:val="2"/>
      <w:numFmt w:val="decimal"/>
      <w:lvlText w:val="%1."/>
    </w:lvl>
    <w:lvl w:ilvl="1">
      <w:start w:val="2"/>
      <w:numFmt w:val="decimal"/>
      <w:lvlText w:val="%1.%2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36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38">
    <w:multiLevelType w:val="multilevel"/>
    <w:lvl w:ilvl="0">
      <w:start w:val="1"/>
      <w:numFmt w:val="bullet"/>
      <w:lvlText w:val="♦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40">
    <w:multiLevelType w:val="multilevel"/>
    <w:lvl w:ilvl="0">
      <w:start w:val="1"/>
      <w:numFmt w:val="bullet"/>
      <w:lvlText w:val="♦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42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44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46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48">
    <w:multiLevelType w:val="multilevel"/>
    <w:lvl w:ilvl="0">
      <w:start w:val="3"/>
      <w:numFmt w:val="decimal"/>
      <w:lvlText w:val="%1."/>
    </w:lvl>
    <w:lvl w:ilvl="1">
      <w:start w:val="1"/>
      <w:numFmt w:val="decimal"/>
      <w:lvlText w:val="%1.%2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50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52">
    <w:multiLevelType w:val="multilevel"/>
    <w:lvl w:ilvl="0">
      <w:start w:val="1"/>
      <w:numFmt w:val="bullet"/>
      <w:lvlText w:val="♦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54">
    <w:multiLevelType w:val="multilevel"/>
    <w:lvl w:ilvl="0">
      <w:start w:val="1"/>
      <w:numFmt w:val="bullet"/>
      <w:lvlText w:val="♦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56">
    <w:multiLevelType w:val="multilevel"/>
    <w:lvl w:ilvl="0">
      <w:start w:val="1"/>
      <w:numFmt w:val="bullet"/>
      <w:lvlText w:val="♦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58">
    <w:multiLevelType w:val="multilevel"/>
    <w:lvl w:ilvl="0">
      <w:start w:val="3"/>
      <w:numFmt w:val="decimal"/>
      <w:lvlText w:val="%1."/>
    </w:lvl>
    <w:lvl w:ilvl="1">
      <w:start w:val="3"/>
      <w:numFmt w:val="decimal"/>
      <w:lvlText w:val="%1.%2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60">
    <w:multiLevelType w:val="multilevel"/>
    <w:lvl w:ilvl="0">
      <w:start w:val="1"/>
      <w:numFmt w:val="bullet"/>
      <w:lvlText w:val="♦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62">
    <w:multiLevelType w:val="multilevel"/>
    <w:lvl w:ilvl="0">
      <w:start w:val="1"/>
      <w:numFmt w:val="bullet"/>
      <w:lvlText w:val="♦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64">
    <w:multiLevelType w:val="multilevel"/>
    <w:lvl w:ilvl="0">
      <w:start w:val="3"/>
      <w:numFmt w:val="decimal"/>
      <w:lvlText w:val="%1."/>
    </w:lvl>
    <w:lvl w:ilvl="1">
      <w:start w:val="7"/>
      <w:numFmt w:val="decimal"/>
      <w:lvlText w:val="%1.%2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66">
    <w:multiLevelType w:val="multilevel"/>
    <w:lvl w:ilvl="0">
      <w:start w:val="1"/>
      <w:numFmt w:val="bullet"/>
      <w:lvlText w:val="♦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68">
    <w:multiLevelType w:val="multilevel"/>
    <w:lvl w:ilvl="0">
      <w:start w:val="1"/>
      <w:numFmt w:val="bullet"/>
      <w:lvlText w:val="♦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70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72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74">
    <w:multiLevelType w:val="multilevel"/>
    <w:lvl w:ilvl="0">
      <w:start w:val="13"/>
      <w:numFmt w:val="decimal"/>
      <w:lvlText w:val="%1.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76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78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start w:val="1"/>
      <w:numFmt w:val="decimal"/>
      <w:lvlText w:val="%1.%2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80">
    <w:multiLevelType w:val="multilevel"/>
    <w:lvl w:ilvl="0">
      <w:start w:val="4"/>
      <w:numFmt w:val="decimal"/>
      <w:lvlText w:val="%1."/>
    </w:lvl>
    <w:lvl w:ilvl="1">
      <w:start w:val="3"/>
      <w:numFmt w:val="decimal"/>
      <w:lvlText w:val="%1.%2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82">
    <w:multiLevelType w:val="multilevel"/>
    <w:lvl w:ilvl="0">
      <w:start w:val="1"/>
      <w:numFmt w:val="bullet"/>
      <w:lvlText w:val="♦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84">
    <w:multiLevelType w:val="multilevel"/>
    <w:lvl w:ilvl="0">
      <w:start w:val="1"/>
      <w:numFmt w:val="bullet"/>
      <w:lvlText w:val="♦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86">
    <w:multiLevelType w:val="multilevel"/>
    <w:lvl w:ilvl="0">
      <w:start w:val="4"/>
      <w:numFmt w:val="decimal"/>
      <w:lvlText w:val="%1."/>
    </w:lvl>
    <w:lvl w:ilvl="1">
      <w:start w:val="5"/>
      <w:numFmt w:val="decimal"/>
      <w:lvlText w:val="%1.%2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88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90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92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94">
    <w:multiLevelType w:val="multilevel"/>
    <w:lvl w:ilvl="0">
      <w:start w:val="5"/>
      <w:numFmt w:val="decimal"/>
      <w:lvlText w:val="%1."/>
    </w:lvl>
    <w:lvl w:ilvl="1">
      <w:start w:val="1"/>
      <w:numFmt w:val="decimal"/>
      <w:lvlText w:val="%1.%2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96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98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00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02">
    <w:multiLevelType w:val="multilevel"/>
    <w:lvl w:ilvl="0">
      <w:start w:val="1"/>
      <w:numFmt w:val="bullet"/>
      <w:lvlText w:val="♦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04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06">
    <w:multiLevelType w:val="multilevel"/>
    <w:lvl w:ilvl="0">
      <w:start w:val="1"/>
      <w:numFmt w:val="bullet"/>
      <w:lvlText w:val="♦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08">
    <w:multiLevelType w:val="multilevel"/>
    <w:lvl w:ilvl="0">
      <w:start w:val="6"/>
      <w:numFmt w:val="decimal"/>
      <w:lvlText w:val="%1."/>
    </w:lvl>
    <w:lvl w:ilvl="1">
      <w:start w:val="2"/>
      <w:numFmt w:val="decimal"/>
      <w:lvlText w:val="%1.%2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10">
    <w:multiLevelType w:val="multilevel"/>
    <w:lvl w:ilvl="0">
      <w:start w:val="1"/>
      <w:numFmt w:val="bullet"/>
      <w:lvlText w:val="♦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12">
    <w:multiLevelType w:val="multilevel"/>
    <w:lvl w:ilvl="0">
      <w:start w:val="1"/>
      <w:numFmt w:val="bullet"/>
      <w:lvlText w:val="♦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14">
    <w:multiLevelType w:val="multilevel"/>
    <w:lvl w:ilvl="0">
      <w:start w:val="1"/>
      <w:numFmt w:val="bullet"/>
      <w:lvlText w:val="♦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16">
    <w:multiLevelType w:val="multilevel"/>
    <w:lvl w:ilvl="0">
      <w:start w:val="1"/>
      <w:numFmt w:val="bullet"/>
      <w:lvlText w:val="♦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18">
    <w:multiLevelType w:val="multilevel"/>
    <w:lvl w:ilvl="0">
      <w:start w:val="6"/>
      <w:numFmt w:val="decimal"/>
      <w:lvlText w:val="%1."/>
    </w:lvl>
    <w:lvl w:ilvl="1">
      <w:start w:val="4"/>
      <w:numFmt w:val="decimal"/>
      <w:lvlText w:val="%1.%2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20">
    <w:multiLevelType w:val="multilevel"/>
    <w:lvl w:ilvl="0">
      <w:start w:val="1"/>
      <w:numFmt w:val="bullet"/>
      <w:lvlText w:val="♦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22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24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26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28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30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32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34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36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38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40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42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44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46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48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50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52">
    <w:multiLevelType w:val="multilevel"/>
    <w:lvl w:ilvl="0">
      <w:start w:val="16"/>
      <w:numFmt w:val="decimal"/>
      <w:lvlText w:val="%1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54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56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58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60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62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64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66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68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70">
    <w:multiLevelType w:val="multilevel"/>
    <w:lvl w:ilvl="0">
      <w:start w:val="5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72">
    <w:multiLevelType w:val="multilevel"/>
    <w:lvl w:ilvl="0">
      <w:start w:val="8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74">
    <w:multiLevelType w:val="multilevel"/>
    <w:lvl w:ilvl="0">
      <w:start w:val="26"/>
      <w:numFmt w:val="decimal"/>
      <w:lvlText w:val="%1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76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78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80">
    <w:multiLevelType w:val="multilevel"/>
    <w:lvl w:ilvl="0">
      <w:start w:val="4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82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84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86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88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90">
    <w:multiLevelType w:val="multilevel"/>
    <w:lvl w:ilvl="0">
      <w:start w:val="8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92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94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96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198">
    <w:multiLevelType w:val="multilevel"/>
    <w:lvl w:ilvl="0">
      <w:start w:val="1"/>
      <w:numFmt w:val="decimal"/>
      <w:lvlText w:val="%1)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</w:abstractNum>
  <w:abstractNum w:abstractNumId="200">
    <w:multiLevelType w:val="multilevel"/>
    <w:lvl w:ilvl="0">
      <w:start w:val="1"/>
      <w:numFmt w:val="upperLetter"/>
      <w:lvlText w:val="%1.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4B4B4B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</w:abstractNum>
  <w:num w:numId="1">
    <w:abstractNumId w:val="0"/>
  </w:num>
  <w:num w:numId="3">
    <w:abstractNumId w:val="2"/>
  </w:num>
  <w:num w:numId="5">
    <w:abstractNumId w:val="4"/>
  </w:num>
  <w:num w:numId="7">
    <w:abstractNumId w:val="6"/>
  </w:num>
  <w:num w:numId="9">
    <w:abstractNumId w:val="8"/>
  </w:num>
  <w:num w:numId="11">
    <w:abstractNumId w:val="10"/>
  </w:num>
  <w:num w:numId="13">
    <w:abstractNumId w:val="12"/>
  </w:num>
  <w:num w:numId="15">
    <w:abstractNumId w:val="14"/>
  </w:num>
  <w:num w:numId="17">
    <w:abstractNumId w:val="16"/>
  </w:num>
  <w:num w:numId="19">
    <w:abstractNumId w:val="18"/>
  </w:num>
  <w:num w:numId="21">
    <w:abstractNumId w:val="20"/>
  </w:num>
  <w:num w:numId="23">
    <w:abstractNumId w:val="22"/>
  </w:num>
  <w:num w:numId="25">
    <w:abstractNumId w:val="24"/>
  </w:num>
  <w:num w:numId="27">
    <w:abstractNumId w:val="26"/>
  </w:num>
  <w:num w:numId="29">
    <w:abstractNumId w:val="28"/>
  </w:num>
  <w:num w:numId="31">
    <w:abstractNumId w:val="30"/>
  </w:num>
  <w:num w:numId="33">
    <w:abstractNumId w:val="32"/>
  </w:num>
  <w:num w:numId="35">
    <w:abstractNumId w:val="34"/>
  </w:num>
  <w:num w:numId="37">
    <w:abstractNumId w:val="36"/>
  </w:num>
  <w:num w:numId="39">
    <w:abstractNumId w:val="38"/>
  </w:num>
  <w:num w:numId="41">
    <w:abstractNumId w:val="40"/>
  </w:num>
  <w:num w:numId="43">
    <w:abstractNumId w:val="42"/>
  </w:num>
  <w:num w:numId="45">
    <w:abstractNumId w:val="44"/>
  </w:num>
  <w:num w:numId="47">
    <w:abstractNumId w:val="46"/>
  </w:num>
  <w:num w:numId="49">
    <w:abstractNumId w:val="48"/>
  </w:num>
  <w:num w:numId="51">
    <w:abstractNumId w:val="50"/>
  </w:num>
  <w:num w:numId="53">
    <w:abstractNumId w:val="52"/>
  </w:num>
  <w:num w:numId="55">
    <w:abstractNumId w:val="54"/>
  </w:num>
  <w:num w:numId="57">
    <w:abstractNumId w:val="56"/>
  </w:num>
  <w:num w:numId="59">
    <w:abstractNumId w:val="58"/>
  </w:num>
  <w:num w:numId="61">
    <w:abstractNumId w:val="60"/>
  </w:num>
  <w:num w:numId="63">
    <w:abstractNumId w:val="62"/>
  </w:num>
  <w:num w:numId="65">
    <w:abstractNumId w:val="64"/>
  </w:num>
  <w:num w:numId="67">
    <w:abstractNumId w:val="66"/>
  </w:num>
  <w:num w:numId="69">
    <w:abstractNumId w:val="68"/>
  </w:num>
  <w:num w:numId="71">
    <w:abstractNumId w:val="70"/>
  </w:num>
  <w:num w:numId="73">
    <w:abstractNumId w:val="72"/>
  </w:num>
  <w:num w:numId="75">
    <w:abstractNumId w:val="74"/>
  </w:num>
  <w:num w:numId="77">
    <w:abstractNumId w:val="76"/>
  </w:num>
  <w:num w:numId="79">
    <w:abstractNumId w:val="78"/>
  </w:num>
  <w:num w:numId="81">
    <w:abstractNumId w:val="80"/>
  </w:num>
  <w:num w:numId="83">
    <w:abstractNumId w:val="82"/>
  </w:num>
  <w:num w:numId="85">
    <w:abstractNumId w:val="84"/>
  </w:num>
  <w:num w:numId="87">
    <w:abstractNumId w:val="86"/>
  </w:num>
  <w:num w:numId="89">
    <w:abstractNumId w:val="88"/>
  </w:num>
  <w:num w:numId="91">
    <w:abstractNumId w:val="90"/>
  </w:num>
  <w:num w:numId="93">
    <w:abstractNumId w:val="92"/>
  </w:num>
  <w:num w:numId="95">
    <w:abstractNumId w:val="94"/>
  </w:num>
  <w:num w:numId="97">
    <w:abstractNumId w:val="96"/>
  </w:num>
  <w:num w:numId="99">
    <w:abstractNumId w:val="98"/>
  </w:num>
  <w:num w:numId="101">
    <w:abstractNumId w:val="100"/>
  </w:num>
  <w:num w:numId="103">
    <w:abstractNumId w:val="102"/>
  </w:num>
  <w:num w:numId="105">
    <w:abstractNumId w:val="104"/>
  </w:num>
  <w:num w:numId="107">
    <w:abstractNumId w:val="106"/>
  </w:num>
  <w:num w:numId="109">
    <w:abstractNumId w:val="108"/>
  </w:num>
  <w:num w:numId="111">
    <w:abstractNumId w:val="110"/>
  </w:num>
  <w:num w:numId="113">
    <w:abstractNumId w:val="112"/>
  </w:num>
  <w:num w:numId="115">
    <w:abstractNumId w:val="114"/>
  </w:num>
  <w:num w:numId="117">
    <w:abstractNumId w:val="116"/>
  </w:num>
  <w:num w:numId="119">
    <w:abstractNumId w:val="118"/>
  </w:num>
  <w:num w:numId="121">
    <w:abstractNumId w:val="120"/>
  </w:num>
  <w:num w:numId="123">
    <w:abstractNumId w:val="122"/>
  </w:num>
  <w:num w:numId="125">
    <w:abstractNumId w:val="124"/>
  </w:num>
  <w:num w:numId="127">
    <w:abstractNumId w:val="126"/>
  </w:num>
  <w:num w:numId="129">
    <w:abstractNumId w:val="128"/>
  </w:num>
  <w:num w:numId="131">
    <w:abstractNumId w:val="130"/>
  </w:num>
  <w:num w:numId="133">
    <w:abstractNumId w:val="132"/>
  </w:num>
  <w:num w:numId="135">
    <w:abstractNumId w:val="134"/>
  </w:num>
  <w:num w:numId="137">
    <w:abstractNumId w:val="136"/>
  </w:num>
  <w:num w:numId="139">
    <w:abstractNumId w:val="138"/>
  </w:num>
  <w:num w:numId="141">
    <w:abstractNumId w:val="140"/>
  </w:num>
  <w:num w:numId="143">
    <w:abstractNumId w:val="142"/>
  </w:num>
  <w:num w:numId="145">
    <w:abstractNumId w:val="144"/>
  </w:num>
  <w:num w:numId="147">
    <w:abstractNumId w:val="146"/>
  </w:num>
  <w:num w:numId="149">
    <w:abstractNumId w:val="148"/>
  </w:num>
  <w:num w:numId="151">
    <w:abstractNumId w:val="150"/>
  </w:num>
  <w:num w:numId="153">
    <w:abstractNumId w:val="152"/>
  </w:num>
  <w:num w:numId="155">
    <w:abstractNumId w:val="154"/>
  </w:num>
  <w:num w:numId="157">
    <w:abstractNumId w:val="156"/>
  </w:num>
  <w:num w:numId="159">
    <w:abstractNumId w:val="158"/>
  </w:num>
  <w:num w:numId="161">
    <w:abstractNumId w:val="160"/>
  </w:num>
  <w:num w:numId="163">
    <w:abstractNumId w:val="162"/>
  </w:num>
  <w:num w:numId="165">
    <w:abstractNumId w:val="164"/>
  </w:num>
  <w:num w:numId="167">
    <w:abstractNumId w:val="166"/>
  </w:num>
  <w:num w:numId="169">
    <w:abstractNumId w:val="168"/>
  </w:num>
  <w:num w:numId="171">
    <w:abstractNumId w:val="170"/>
  </w:num>
  <w:num w:numId="173">
    <w:abstractNumId w:val="172"/>
  </w:num>
  <w:num w:numId="175">
    <w:abstractNumId w:val="174"/>
  </w:num>
  <w:num w:numId="177">
    <w:abstractNumId w:val="176"/>
  </w:num>
  <w:num w:numId="179">
    <w:abstractNumId w:val="178"/>
  </w:num>
  <w:num w:numId="181">
    <w:abstractNumId w:val="180"/>
  </w:num>
  <w:num w:numId="183">
    <w:abstractNumId w:val="182"/>
  </w:num>
  <w:num w:numId="185">
    <w:abstractNumId w:val="184"/>
  </w:num>
  <w:num w:numId="187">
    <w:abstractNumId w:val="186"/>
  </w:num>
  <w:num w:numId="189">
    <w:abstractNumId w:val="188"/>
  </w:num>
  <w:num w:numId="191">
    <w:abstractNumId w:val="190"/>
  </w:num>
  <w:num w:numId="193">
    <w:abstractNumId w:val="192"/>
  </w:num>
  <w:num w:numId="195">
    <w:abstractNumId w:val="194"/>
  </w:num>
  <w:num w:numId="197">
    <w:abstractNumId w:val="196"/>
  </w:num>
  <w:num w:numId="199">
    <w:abstractNumId w:val="198"/>
  </w:num>
  <w:num w:numId="201">
    <w:abstractNumId w:val="200"/>
  </w:num>
</w:numbering>
</file>

<file path=word/settings.xml><?xml version="1.0" encoding="utf-8"?>
<w:setting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zoom w:val="fullPage"/>
  <w:evenAndOddHeaders/>
  <w:drawingGridHorizontalSpacing w:val="181"/>
  <w:drawingGridVerticalSpacing w:val="181"/>
  <w:displayHorizontalDrawingGridEvery w:val="1"/>
  <w:displayVerticalDrawingGridEvery w:val="1"/>
  <w:characterSpacingControl w:val="compressPunctuation"/>
  <w:footnotePr>
    <w:pos w:val="pageBottom"/>
    <w:numFmt w:val="decimal"/>
    <w:numRestart w:val="continuous"/>
    <w:footnote w:id="0"/>
    <w:footnote w:id="1"/>
  </w:footnotePr>
  <w:compat>
    <w:doNotExpandShiftReturn/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docDefaults>
    <w:rPrDefault>
      <w:rPr>
        <w:rFonts w:ascii="Microsoft Sans Serif" w:eastAsia="Microsoft Sans Serif" w:hAnsi="Microsoft Sans Serif" w:cs="Microsoft Sans Serif"/>
        <w:sz w:val="24"/>
        <w:szCs w:val="24"/>
        <w:lang w:val="ru-RU" w:eastAsia="ru-RU" w:bidi="ru-RU"/>
      </w:rPr>
    </w:rPrDefault>
    <w:pPrDefault>
      <w:pPr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</w:pPrDefault>
  </w:docDefaults>
  <w:style w:type="paragraph" w:default="1" w:styleId="Normal">
    <w:name w:val="Normal"/>
    <w:pPr>
      <w:keepNext w:val="0"/>
      <w:keepLines w:val="0"/>
      <w:widowControl w:val="0"/>
      <w:shd w:val="clear" w:color="auto" w:fill="auto"/>
      <w:bidi w:val="0"/>
      <w:spacing w:before="0" w:after="0" w:line="240" w:lineRule="auto"/>
      <w:ind w:left="0" w:right="0" w:firstLine="0"/>
      <w:jc w:val="left"/>
    </w:pPr>
    <w:rPr>
      <w:rFonts w:ascii="Microsoft Sans Serif" w:eastAsia="Microsoft Sans Serif" w:hAnsi="Microsoft Sans Serif" w:cs="Microsoft Sans Serif"/>
      <w:color w:val="000000"/>
      <w:spacing w:val="0"/>
      <w:w w:val="100"/>
      <w:position w:val="0"/>
      <w:sz w:val="24"/>
      <w:szCs w:val="24"/>
      <w:shd w:val="clear" w:color="auto" w:fill="auto"/>
      <w:lang w:val="ru-RU" w:eastAsia="ru-RU" w:bidi="ru-RU"/>
    </w:rPr>
  </w:style>
  <w:style w:type="character" w:default="1" w:styleId="DefaultParagraphFont">
    <w:name w:val="Default Paragraph Font"/>
    <w:rPr>
      <w:rFonts w:ascii="Microsoft Sans Serif" w:eastAsia="Microsoft Sans Serif" w:hAnsi="Microsoft Sans Serif" w:cs="Microsoft Sans Serif"/>
      <w:color w:val="000000"/>
      <w:spacing w:val="0"/>
      <w:w w:val="100"/>
      <w:position w:val="0"/>
      <w:sz w:val="24"/>
      <w:szCs w:val="24"/>
      <w:shd w:val="clear" w:color="auto" w:fill="auto"/>
      <w:lang w:val="ru-RU" w:eastAsia="ru-RU" w:bidi="ru-RU"/>
    </w:rPr>
  </w:style>
  <w:style w:type="character" w:customStyle="1" w:styleId="CharStyle3">
    <w:name w:val="Сноска_"/>
    <w:basedOn w:val="DefaultParagraphFont"/>
    <w:link w:val="Style2"/>
    <w:rPr>
      <w:rFonts w:ascii="Arial" w:eastAsia="Arial" w:hAnsi="Arial" w:cs="Arial"/>
      <w:b w:val="0"/>
      <w:bCs w:val="0"/>
      <w:i w:val="0"/>
      <w:iCs w:val="0"/>
      <w:smallCaps w:val="0"/>
      <w:strike w:val="0"/>
      <w:color w:val="4B4B4B"/>
      <w:sz w:val="15"/>
      <w:szCs w:val="15"/>
      <w:u w:val="none"/>
    </w:rPr>
  </w:style>
  <w:style w:type="character" w:customStyle="1" w:styleId="CharStyle9">
    <w:name w:val="Основной текст (5)_"/>
    <w:basedOn w:val="DefaultParagraphFont"/>
    <w:link w:val="Style8"/>
    <w:rPr>
      <w:rFonts w:ascii="Arial" w:eastAsia="Arial" w:hAnsi="Arial" w:cs="Arial"/>
      <w:b w:val="0"/>
      <w:bCs w:val="0"/>
      <w:i w:val="0"/>
      <w:iCs w:val="0"/>
      <w:smallCaps w:val="0"/>
      <w:strike w:val="0"/>
      <w:color w:val="4B4B4B"/>
      <w:sz w:val="20"/>
      <w:szCs w:val="20"/>
      <w:u w:val="none"/>
    </w:rPr>
  </w:style>
  <w:style w:type="character" w:customStyle="1" w:styleId="CharStyle12">
    <w:name w:val="Основной текст (6)_"/>
    <w:basedOn w:val="DefaultParagraphFont"/>
    <w:link w:val="Style11"/>
    <w:rPr>
      <w:rFonts w:ascii="Arial" w:eastAsia="Arial" w:hAnsi="Arial" w:cs="Arial"/>
      <w:b/>
      <w:bCs/>
      <w:i w:val="0"/>
      <w:iCs w:val="0"/>
      <w:smallCaps w:val="0"/>
      <w:strike w:val="0"/>
      <w:color w:val="4B4B4B"/>
      <w:sz w:val="42"/>
      <w:szCs w:val="42"/>
      <w:u w:val="none"/>
    </w:rPr>
  </w:style>
  <w:style w:type="character" w:customStyle="1" w:styleId="CharStyle14">
    <w:name w:val="Основной текст (7)_"/>
    <w:basedOn w:val="DefaultParagraphFont"/>
    <w:link w:val="Style13"/>
    <w:rPr>
      <w:rFonts w:ascii="Consolas" w:eastAsia="Consolas" w:hAnsi="Consolas" w:cs="Consolas"/>
      <w:b w:val="0"/>
      <w:bCs w:val="0"/>
      <w:i/>
      <w:iCs/>
      <w:smallCaps w:val="0"/>
      <w:strike w:val="0"/>
      <w:color w:val="4B4B4B"/>
      <w:sz w:val="22"/>
      <w:szCs w:val="22"/>
      <w:u w:val="none"/>
    </w:rPr>
  </w:style>
  <w:style w:type="character" w:customStyle="1" w:styleId="CharStyle16">
    <w:name w:val="Основной текст (2)_"/>
    <w:basedOn w:val="DefaultParagraphFont"/>
    <w:link w:val="Style15"/>
    <w:rPr>
      <w:rFonts w:ascii="Arial" w:eastAsia="Arial" w:hAnsi="Arial" w:cs="Arial"/>
      <w:b w:val="0"/>
      <w:bCs w:val="0"/>
      <w:i w:val="0"/>
      <w:iCs w:val="0"/>
      <w:smallCaps w:val="0"/>
      <w:strike w:val="0"/>
      <w:color w:val="4B4B4B"/>
      <w:sz w:val="15"/>
      <w:szCs w:val="15"/>
      <w:u w:val="none"/>
    </w:rPr>
  </w:style>
  <w:style w:type="character" w:customStyle="1" w:styleId="CharStyle22">
    <w:name w:val="Основной текст (3)_"/>
    <w:basedOn w:val="DefaultParagraphFont"/>
    <w:link w:val="Style21"/>
    <w:rPr>
      <w:rFonts w:ascii="Arial" w:eastAsia="Arial" w:hAnsi="Arial" w:cs="Arial"/>
      <w:b w:val="0"/>
      <w:bCs w:val="0"/>
      <w:i w:val="0"/>
      <w:iCs w:val="0"/>
      <w:smallCaps w:val="0"/>
      <w:strike w:val="0"/>
      <w:color w:val="4B4B4B"/>
      <w:sz w:val="17"/>
      <w:szCs w:val="17"/>
      <w:u w:val="none"/>
    </w:rPr>
  </w:style>
  <w:style w:type="character" w:customStyle="1" w:styleId="CharStyle25">
    <w:name w:val="Колонтитул (2)_"/>
    <w:basedOn w:val="DefaultParagraphFont"/>
    <w:link w:val="Style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CharStyle28">
    <w:name w:val="Оглавление_"/>
    <w:basedOn w:val="DefaultParagraphFont"/>
    <w:link w:val="Style27"/>
    <w:rPr>
      <w:rFonts w:ascii="Arial" w:eastAsia="Arial" w:hAnsi="Arial" w:cs="Arial"/>
      <w:b w:val="0"/>
      <w:bCs w:val="0"/>
      <w:i w:val="0"/>
      <w:iCs w:val="0"/>
      <w:smallCaps w:val="0"/>
      <w:strike w:val="0"/>
      <w:color w:val="4B4B4B"/>
      <w:sz w:val="15"/>
      <w:szCs w:val="15"/>
      <w:u w:val="none"/>
    </w:rPr>
  </w:style>
  <w:style w:type="character" w:customStyle="1" w:styleId="CharStyle35">
    <w:name w:val="Основной текст_"/>
    <w:basedOn w:val="DefaultParagraphFont"/>
    <w:link w:val="Style3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4B4B4B"/>
      <w:sz w:val="22"/>
      <w:szCs w:val="22"/>
      <w:u w:val="none"/>
    </w:rPr>
  </w:style>
  <w:style w:type="character" w:customStyle="1" w:styleId="CharStyle37">
    <w:name w:val="Номер заголовка №2_"/>
    <w:basedOn w:val="DefaultParagraphFont"/>
    <w:link w:val="Style36"/>
    <w:rPr>
      <w:rFonts w:ascii="Arial" w:eastAsia="Arial" w:hAnsi="Arial" w:cs="Arial"/>
      <w:b/>
      <w:bCs/>
      <w:i w:val="0"/>
      <w:iCs w:val="0"/>
      <w:smallCaps w:val="0"/>
      <w:strike w:val="0"/>
      <w:color w:val="4B4B4B"/>
      <w:u w:val="none"/>
    </w:rPr>
  </w:style>
  <w:style w:type="character" w:customStyle="1" w:styleId="CharStyle40">
    <w:name w:val="Заголовок №2_"/>
    <w:basedOn w:val="DefaultParagraphFont"/>
    <w:link w:val="Style39"/>
    <w:rPr>
      <w:rFonts w:ascii="Arial" w:eastAsia="Arial" w:hAnsi="Arial" w:cs="Arial"/>
      <w:b/>
      <w:bCs/>
      <w:i w:val="0"/>
      <w:iCs w:val="0"/>
      <w:smallCaps w:val="0"/>
      <w:strike w:val="0"/>
      <w:color w:val="4B4B4B"/>
      <w:u w:val="none"/>
    </w:rPr>
  </w:style>
  <w:style w:type="character" w:customStyle="1" w:styleId="CharStyle45">
    <w:name w:val="Заголовок №3_"/>
    <w:basedOn w:val="DefaultParagraphFont"/>
    <w:link w:val="Style4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4B4B4B"/>
      <w:sz w:val="22"/>
      <w:szCs w:val="22"/>
      <w:u w:val="none"/>
    </w:rPr>
  </w:style>
  <w:style w:type="character" w:customStyle="1" w:styleId="CharStyle49">
    <w:name w:val="Подпись к картинке_"/>
    <w:basedOn w:val="DefaultParagraphFont"/>
    <w:link w:val="Style48"/>
    <w:rPr>
      <w:rFonts w:ascii="Arial" w:eastAsia="Arial" w:hAnsi="Arial" w:cs="Arial"/>
      <w:b w:val="0"/>
      <w:bCs w:val="0"/>
      <w:i w:val="0"/>
      <w:iCs w:val="0"/>
      <w:smallCaps w:val="0"/>
      <w:strike w:val="0"/>
      <w:color w:val="4B4B4B"/>
      <w:sz w:val="15"/>
      <w:szCs w:val="15"/>
      <w:u w:val="none"/>
    </w:rPr>
  </w:style>
  <w:style w:type="character" w:customStyle="1" w:styleId="CharStyle58">
    <w:name w:val="Другое_"/>
    <w:basedOn w:val="DefaultParagraphFont"/>
    <w:link w:val="Style5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4B4B4B"/>
      <w:sz w:val="22"/>
      <w:szCs w:val="22"/>
      <w:u w:val="none"/>
    </w:rPr>
  </w:style>
  <w:style w:type="character" w:customStyle="1" w:styleId="CharStyle62">
    <w:name w:val="Основной текст (4)_"/>
    <w:basedOn w:val="DefaultParagraphFont"/>
    <w:link w:val="Style61"/>
    <w:rPr>
      <w:rFonts w:ascii="Arial" w:eastAsia="Arial" w:hAnsi="Arial" w:cs="Arial"/>
      <w:b/>
      <w:bCs/>
      <w:i w:val="0"/>
      <w:iCs w:val="0"/>
      <w:smallCaps w:val="0"/>
      <w:strike w:val="0"/>
      <w:color w:val="4B4B4B"/>
      <w:sz w:val="13"/>
      <w:szCs w:val="13"/>
      <w:u w:val="none"/>
    </w:rPr>
  </w:style>
  <w:style w:type="character" w:customStyle="1" w:styleId="CharStyle70">
    <w:name w:val="Колонтитул_"/>
    <w:basedOn w:val="DefaultParagraphFont"/>
    <w:link w:val="Style69"/>
    <w:rPr>
      <w:rFonts w:ascii="Arial" w:eastAsia="Arial" w:hAnsi="Arial" w:cs="Arial"/>
      <w:b w:val="0"/>
      <w:bCs w:val="0"/>
      <w:i w:val="0"/>
      <w:iCs w:val="0"/>
      <w:smallCaps w:val="0"/>
      <w:strike w:val="0"/>
      <w:color w:val="4B4B4B"/>
      <w:sz w:val="19"/>
      <w:szCs w:val="19"/>
      <w:u w:val="none"/>
    </w:rPr>
  </w:style>
  <w:style w:type="character" w:customStyle="1" w:styleId="CharStyle72">
    <w:name w:val="Подпись к таблице_"/>
    <w:basedOn w:val="DefaultParagraphFont"/>
    <w:link w:val="Style71"/>
    <w:rPr>
      <w:rFonts w:ascii="Arial" w:eastAsia="Arial" w:hAnsi="Arial" w:cs="Arial"/>
      <w:b/>
      <w:bCs/>
      <w:i w:val="0"/>
      <w:iCs w:val="0"/>
      <w:smallCaps w:val="0"/>
      <w:strike w:val="0"/>
      <w:color w:val="4B4B4B"/>
      <w:sz w:val="18"/>
      <w:szCs w:val="18"/>
      <w:u w:val="none"/>
    </w:rPr>
  </w:style>
  <w:style w:type="character" w:customStyle="1" w:styleId="CharStyle111">
    <w:name w:val="Основной текст (10)_"/>
    <w:basedOn w:val="DefaultParagraphFont"/>
    <w:link w:val="Style110"/>
    <w:rPr>
      <w:rFonts w:ascii="Arial" w:eastAsia="Arial" w:hAnsi="Arial" w:cs="Arial"/>
      <w:b w:val="0"/>
      <w:bCs w:val="0"/>
      <w:i w:val="0"/>
      <w:iCs w:val="0"/>
      <w:smallCaps w:val="0"/>
      <w:strike w:val="0"/>
      <w:color w:val="4B4B4B"/>
      <w:sz w:val="11"/>
      <w:szCs w:val="11"/>
      <w:u w:val="none"/>
    </w:rPr>
  </w:style>
  <w:style w:type="character" w:customStyle="1" w:styleId="CharStyle128">
    <w:name w:val="Заголовок №1_"/>
    <w:basedOn w:val="DefaultParagraphFont"/>
    <w:link w:val="Style127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4B4B4B"/>
      <w:sz w:val="72"/>
      <w:szCs w:val="72"/>
      <w:u w:val="none"/>
    </w:rPr>
  </w:style>
  <w:style w:type="paragraph" w:customStyle="1" w:styleId="Style2">
    <w:name w:val="Сноска"/>
    <w:basedOn w:val="Normal"/>
    <w:link w:val="CharStyle3"/>
    <w:pPr>
      <w:widowControl w:val="0"/>
      <w:shd w:val="clear" w:color="auto" w:fill="auto"/>
      <w:spacing w:line="264" w:lineRule="auto"/>
      <w:ind w:firstLine="350"/>
    </w:pPr>
    <w:rPr>
      <w:rFonts w:ascii="Arial" w:eastAsia="Arial" w:hAnsi="Arial" w:cs="Arial"/>
      <w:b w:val="0"/>
      <w:bCs w:val="0"/>
      <w:i w:val="0"/>
      <w:iCs w:val="0"/>
      <w:smallCaps w:val="0"/>
      <w:strike w:val="0"/>
      <w:color w:val="4B4B4B"/>
      <w:sz w:val="15"/>
      <w:szCs w:val="15"/>
      <w:u w:val="none"/>
    </w:rPr>
  </w:style>
  <w:style w:type="paragraph" w:customStyle="1" w:styleId="Style8">
    <w:name w:val="Основной текст (5)"/>
    <w:basedOn w:val="Normal"/>
    <w:link w:val="CharStyle9"/>
    <w:pPr>
      <w:widowControl w:val="0"/>
      <w:shd w:val="clear" w:color="auto" w:fill="auto"/>
      <w:spacing w:after="470" w:line="264" w:lineRule="auto"/>
      <w:jc w:val="center"/>
    </w:pPr>
    <w:rPr>
      <w:rFonts w:ascii="Arial" w:eastAsia="Arial" w:hAnsi="Arial" w:cs="Arial"/>
      <w:b w:val="0"/>
      <w:bCs w:val="0"/>
      <w:i w:val="0"/>
      <w:iCs w:val="0"/>
      <w:smallCaps w:val="0"/>
      <w:strike w:val="0"/>
      <w:color w:val="4B4B4B"/>
      <w:sz w:val="20"/>
      <w:szCs w:val="20"/>
      <w:u w:val="none"/>
    </w:rPr>
  </w:style>
  <w:style w:type="paragraph" w:customStyle="1" w:styleId="Style11">
    <w:name w:val="Основной текст (6)"/>
    <w:basedOn w:val="Normal"/>
    <w:link w:val="CharStyle12"/>
    <w:pPr>
      <w:widowControl w:val="0"/>
      <w:shd w:val="clear" w:color="auto" w:fill="auto"/>
      <w:spacing w:after="740" w:line="288" w:lineRule="auto"/>
      <w:jc w:val="center"/>
    </w:pPr>
    <w:rPr>
      <w:rFonts w:ascii="Arial" w:eastAsia="Arial" w:hAnsi="Arial" w:cs="Arial"/>
      <w:b/>
      <w:bCs/>
      <w:i w:val="0"/>
      <w:iCs w:val="0"/>
      <w:smallCaps w:val="0"/>
      <w:strike w:val="0"/>
      <w:color w:val="4B4B4B"/>
      <w:sz w:val="42"/>
      <w:szCs w:val="42"/>
      <w:u w:val="none"/>
    </w:rPr>
  </w:style>
  <w:style w:type="paragraph" w:customStyle="1" w:styleId="Style13">
    <w:name w:val="Основной текст (7)"/>
    <w:basedOn w:val="Normal"/>
    <w:link w:val="CharStyle14"/>
    <w:pPr>
      <w:widowControl w:val="0"/>
      <w:shd w:val="clear" w:color="auto" w:fill="auto"/>
      <w:spacing w:after="1000" w:line="295" w:lineRule="auto"/>
      <w:jc w:val="center"/>
    </w:pPr>
    <w:rPr>
      <w:rFonts w:ascii="Consolas" w:eastAsia="Consolas" w:hAnsi="Consolas" w:cs="Consolas"/>
      <w:b w:val="0"/>
      <w:bCs w:val="0"/>
      <w:i/>
      <w:iCs/>
      <w:smallCaps w:val="0"/>
      <w:strike w:val="0"/>
      <w:color w:val="4B4B4B"/>
      <w:sz w:val="22"/>
      <w:szCs w:val="22"/>
      <w:u w:val="none"/>
    </w:rPr>
  </w:style>
  <w:style w:type="paragraph" w:customStyle="1" w:styleId="Style15">
    <w:name w:val="Основной текст (2)"/>
    <w:basedOn w:val="Normal"/>
    <w:link w:val="CharStyle16"/>
    <w:pPr>
      <w:widowControl w:val="0"/>
      <w:shd w:val="clear" w:color="auto" w:fill="auto"/>
      <w:spacing w:after="60" w:line="266" w:lineRule="auto"/>
      <w:ind w:left="340"/>
    </w:pPr>
    <w:rPr>
      <w:rFonts w:ascii="Arial" w:eastAsia="Arial" w:hAnsi="Arial" w:cs="Arial"/>
      <w:b w:val="0"/>
      <w:bCs w:val="0"/>
      <w:i w:val="0"/>
      <w:iCs w:val="0"/>
      <w:smallCaps w:val="0"/>
      <w:strike w:val="0"/>
      <w:color w:val="4B4B4B"/>
      <w:sz w:val="15"/>
      <w:szCs w:val="15"/>
      <w:u w:val="none"/>
    </w:rPr>
  </w:style>
  <w:style w:type="paragraph" w:customStyle="1" w:styleId="Style21">
    <w:name w:val="Основной текст (3)"/>
    <w:basedOn w:val="Normal"/>
    <w:link w:val="CharStyle22"/>
    <w:pPr>
      <w:widowControl w:val="0"/>
      <w:shd w:val="clear" w:color="auto" w:fill="auto"/>
      <w:spacing w:after="260" w:line="262" w:lineRule="auto"/>
      <w:ind w:left="500" w:hanging="500"/>
    </w:pPr>
    <w:rPr>
      <w:rFonts w:ascii="Arial" w:eastAsia="Arial" w:hAnsi="Arial" w:cs="Arial"/>
      <w:b w:val="0"/>
      <w:bCs w:val="0"/>
      <w:i w:val="0"/>
      <w:iCs w:val="0"/>
      <w:smallCaps w:val="0"/>
      <w:strike w:val="0"/>
      <w:color w:val="4B4B4B"/>
      <w:sz w:val="17"/>
      <w:szCs w:val="17"/>
      <w:u w:val="none"/>
    </w:rPr>
  </w:style>
  <w:style w:type="paragraph" w:customStyle="1" w:styleId="Style24">
    <w:name w:val="Колонтитул (2)"/>
    <w:basedOn w:val="Normal"/>
    <w:link w:val="CharStyle25"/>
    <w:pPr>
      <w:widowControl w:val="0"/>
      <w:shd w:val="clear" w:color="auto" w:fill="auto"/>
    </w:pPr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paragraph" w:customStyle="1" w:styleId="Style27">
    <w:name w:val="Оглавление"/>
    <w:basedOn w:val="Normal"/>
    <w:link w:val="CharStyle28"/>
    <w:pPr>
      <w:widowControl w:val="0"/>
      <w:shd w:val="clear" w:color="auto" w:fill="auto"/>
      <w:spacing w:after="60" w:line="271" w:lineRule="auto"/>
      <w:ind w:firstLine="680"/>
    </w:pPr>
    <w:rPr>
      <w:rFonts w:ascii="Arial" w:eastAsia="Arial" w:hAnsi="Arial" w:cs="Arial"/>
      <w:b w:val="0"/>
      <w:bCs w:val="0"/>
      <w:i w:val="0"/>
      <w:iCs w:val="0"/>
      <w:smallCaps w:val="0"/>
      <w:strike w:val="0"/>
      <w:color w:val="4B4B4B"/>
      <w:sz w:val="15"/>
      <w:szCs w:val="15"/>
      <w:u w:val="none"/>
    </w:rPr>
  </w:style>
  <w:style w:type="paragraph" w:customStyle="1" w:styleId="Style34">
    <w:name w:val="Основной текст"/>
    <w:basedOn w:val="Normal"/>
    <w:link w:val="CharStyle35"/>
    <w:pPr>
      <w:widowControl w:val="0"/>
      <w:shd w:val="clear" w:color="auto" w:fill="auto"/>
      <w:ind w:firstLine="340"/>
    </w:pPr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4B4B4B"/>
      <w:sz w:val="22"/>
      <w:szCs w:val="22"/>
      <w:u w:val="none"/>
    </w:rPr>
  </w:style>
  <w:style w:type="paragraph" w:customStyle="1" w:styleId="Style36">
    <w:name w:val="Номер заголовка №2"/>
    <w:basedOn w:val="Normal"/>
    <w:link w:val="CharStyle37"/>
    <w:pPr>
      <w:widowControl w:val="0"/>
      <w:shd w:val="clear" w:color="auto" w:fill="auto"/>
      <w:spacing w:after="260"/>
      <w:jc w:val="center"/>
      <w:outlineLvl w:val="1"/>
    </w:pPr>
    <w:rPr>
      <w:rFonts w:ascii="Arial" w:eastAsia="Arial" w:hAnsi="Arial" w:cs="Arial"/>
      <w:b/>
      <w:bCs/>
      <w:i w:val="0"/>
      <w:iCs w:val="0"/>
      <w:smallCaps w:val="0"/>
      <w:strike w:val="0"/>
      <w:color w:val="4B4B4B"/>
      <w:u w:val="none"/>
    </w:rPr>
  </w:style>
  <w:style w:type="paragraph" w:customStyle="1" w:styleId="Style39">
    <w:name w:val="Заголовок №2"/>
    <w:basedOn w:val="Normal"/>
    <w:link w:val="CharStyle40"/>
    <w:pPr>
      <w:widowControl w:val="0"/>
      <w:shd w:val="clear" w:color="auto" w:fill="auto"/>
      <w:spacing w:after="740"/>
      <w:jc w:val="center"/>
      <w:outlineLvl w:val="1"/>
    </w:pPr>
    <w:rPr>
      <w:rFonts w:ascii="Arial" w:eastAsia="Arial" w:hAnsi="Arial" w:cs="Arial"/>
      <w:b/>
      <w:bCs/>
      <w:i w:val="0"/>
      <w:iCs w:val="0"/>
      <w:smallCaps w:val="0"/>
      <w:strike w:val="0"/>
      <w:color w:val="4B4B4B"/>
      <w:u w:val="none"/>
    </w:rPr>
  </w:style>
  <w:style w:type="paragraph" w:customStyle="1" w:styleId="Style44">
    <w:name w:val="Заголовок №3"/>
    <w:basedOn w:val="Normal"/>
    <w:link w:val="CharStyle45"/>
    <w:pPr>
      <w:widowControl w:val="0"/>
      <w:shd w:val="clear" w:color="auto" w:fill="auto"/>
      <w:spacing w:after="240"/>
      <w:jc w:val="center"/>
      <w:outlineLvl w:val="2"/>
    </w:pPr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4B4B4B"/>
      <w:sz w:val="22"/>
      <w:szCs w:val="22"/>
      <w:u w:val="none"/>
    </w:rPr>
  </w:style>
  <w:style w:type="paragraph" w:customStyle="1" w:styleId="Style48">
    <w:name w:val="Подпись к картинке"/>
    <w:basedOn w:val="Normal"/>
    <w:link w:val="CharStyle49"/>
    <w:pPr>
      <w:widowControl w:val="0"/>
      <w:shd w:val="clear" w:color="auto" w:fill="auto"/>
    </w:pPr>
    <w:rPr>
      <w:rFonts w:ascii="Arial" w:eastAsia="Arial" w:hAnsi="Arial" w:cs="Arial"/>
      <w:b w:val="0"/>
      <w:bCs w:val="0"/>
      <w:i w:val="0"/>
      <w:iCs w:val="0"/>
      <w:smallCaps w:val="0"/>
      <w:strike w:val="0"/>
      <w:color w:val="4B4B4B"/>
      <w:sz w:val="15"/>
      <w:szCs w:val="15"/>
      <w:u w:val="none"/>
    </w:rPr>
  </w:style>
  <w:style w:type="paragraph" w:customStyle="1" w:styleId="Style57">
    <w:name w:val="Другое"/>
    <w:basedOn w:val="Normal"/>
    <w:link w:val="CharStyle58"/>
    <w:pPr>
      <w:widowControl w:val="0"/>
      <w:shd w:val="clear" w:color="auto" w:fill="auto"/>
      <w:ind w:firstLine="340"/>
    </w:pPr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4B4B4B"/>
      <w:sz w:val="22"/>
      <w:szCs w:val="22"/>
      <w:u w:val="none"/>
    </w:rPr>
  </w:style>
  <w:style w:type="paragraph" w:customStyle="1" w:styleId="Style61">
    <w:name w:val="Основной текст (4)"/>
    <w:basedOn w:val="Normal"/>
    <w:link w:val="CharStyle62"/>
    <w:pPr>
      <w:widowControl w:val="0"/>
      <w:shd w:val="clear" w:color="auto" w:fill="auto"/>
      <w:spacing w:line="216" w:lineRule="auto"/>
    </w:pPr>
    <w:rPr>
      <w:rFonts w:ascii="Arial" w:eastAsia="Arial" w:hAnsi="Arial" w:cs="Arial"/>
      <w:b/>
      <w:bCs/>
      <w:i w:val="0"/>
      <w:iCs w:val="0"/>
      <w:smallCaps w:val="0"/>
      <w:strike w:val="0"/>
      <w:color w:val="4B4B4B"/>
      <w:sz w:val="13"/>
      <w:szCs w:val="13"/>
      <w:u w:val="none"/>
    </w:rPr>
  </w:style>
  <w:style w:type="paragraph" w:customStyle="1" w:styleId="Style69">
    <w:name w:val="Колонтитул"/>
    <w:basedOn w:val="Normal"/>
    <w:link w:val="CharStyle70"/>
    <w:pPr>
      <w:widowControl w:val="0"/>
      <w:shd w:val="clear" w:color="auto" w:fill="auto"/>
    </w:pPr>
    <w:rPr>
      <w:rFonts w:ascii="Arial" w:eastAsia="Arial" w:hAnsi="Arial" w:cs="Arial"/>
      <w:b w:val="0"/>
      <w:bCs w:val="0"/>
      <w:i w:val="0"/>
      <w:iCs w:val="0"/>
      <w:smallCaps w:val="0"/>
      <w:strike w:val="0"/>
      <w:color w:val="4B4B4B"/>
      <w:sz w:val="19"/>
      <w:szCs w:val="19"/>
      <w:u w:val="none"/>
    </w:rPr>
  </w:style>
  <w:style w:type="paragraph" w:customStyle="1" w:styleId="Style71">
    <w:name w:val="Подпись к таблице"/>
    <w:basedOn w:val="Normal"/>
    <w:link w:val="CharStyle72"/>
    <w:pPr>
      <w:widowControl w:val="0"/>
      <w:shd w:val="clear" w:color="auto" w:fill="auto"/>
      <w:spacing w:line="235" w:lineRule="auto"/>
      <w:jc w:val="center"/>
    </w:pPr>
    <w:rPr>
      <w:rFonts w:ascii="Arial" w:eastAsia="Arial" w:hAnsi="Arial" w:cs="Arial"/>
      <w:b/>
      <w:bCs/>
      <w:i w:val="0"/>
      <w:iCs w:val="0"/>
      <w:smallCaps w:val="0"/>
      <w:strike w:val="0"/>
      <w:color w:val="4B4B4B"/>
      <w:sz w:val="18"/>
      <w:szCs w:val="18"/>
      <w:u w:val="none"/>
    </w:rPr>
  </w:style>
  <w:style w:type="paragraph" w:customStyle="1" w:styleId="Style110">
    <w:name w:val="Основной текст (10)"/>
    <w:basedOn w:val="Normal"/>
    <w:link w:val="CharStyle111"/>
    <w:pPr>
      <w:widowControl w:val="0"/>
      <w:shd w:val="clear" w:color="auto" w:fill="auto"/>
      <w:spacing w:after="120"/>
      <w:jc w:val="center"/>
    </w:pPr>
    <w:rPr>
      <w:rFonts w:ascii="Arial" w:eastAsia="Arial" w:hAnsi="Arial" w:cs="Arial"/>
      <w:b w:val="0"/>
      <w:bCs w:val="0"/>
      <w:i w:val="0"/>
      <w:iCs w:val="0"/>
      <w:smallCaps w:val="0"/>
      <w:strike w:val="0"/>
      <w:color w:val="4B4B4B"/>
      <w:sz w:val="11"/>
      <w:szCs w:val="11"/>
      <w:u w:val="none"/>
    </w:rPr>
  </w:style>
  <w:style w:type="paragraph" w:customStyle="1" w:styleId="Style127">
    <w:name w:val="Заголовок №1"/>
    <w:basedOn w:val="Normal"/>
    <w:link w:val="CharStyle128"/>
    <w:pPr>
      <w:widowControl w:val="0"/>
      <w:shd w:val="clear" w:color="auto" w:fill="auto"/>
      <w:spacing w:line="180" w:lineRule="auto"/>
      <w:outlineLvl w:val="0"/>
    </w:pPr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4B4B4B"/>
      <w:sz w:val="72"/>
      <w:szCs w:val="72"/>
      <w:u w:val="none"/>
    </w:rPr>
  </w:style>
</w:styles>
</file>

<file path=word/_rels/document.xml.rels>&#65279;<?xml version="1.0" encoding="UTF-8" standalone="yes"?>
<Relationships xmlns="http://schemas.openxmlformats.org/package/2006/relationships"><Relationship Id="rId1" Type="http://schemas.openxmlformats.org/officeDocument/2006/relationships/footnotes" Target="footnotes.xml"/><Relationship Id="rId2" Type="http://schemas.openxmlformats.org/officeDocument/2006/relationships/styles" Target="styles.xml"/><Relationship Id="rId3" Type="http://schemas.openxmlformats.org/officeDocument/2006/relationships/numbering" Target="numbering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footer" Target="footer2.xml"/><Relationship Id="rId7" Type="http://schemas.openxmlformats.org/officeDocument/2006/relationships/footer" Target="footer3.xml"/><Relationship Id="rId8" Type="http://schemas.openxmlformats.org/officeDocument/2006/relationships/footer" Target="footer4.xml"/><Relationship Id="rId9" Type="http://schemas.openxmlformats.org/officeDocument/2006/relationships/footer" Target="footer5.xml"/><Relationship Id="rId10" Type="http://schemas.openxmlformats.org/officeDocument/2006/relationships/footer" Target="footer6.xml"/><Relationship Id="rId11" Type="http://schemas.openxmlformats.org/officeDocument/2006/relationships/footer" Target="footer7.xml"/><Relationship Id="rId12" Type="http://schemas.openxmlformats.org/officeDocument/2006/relationships/footer" Target="footer8.xml"/><Relationship Id="rId13" Type="http://schemas.openxmlformats.org/officeDocument/2006/relationships/footer" Target="footer9.xml"/><Relationship Id="rId14" Type="http://schemas.openxmlformats.org/officeDocument/2006/relationships/image" Target="media/image1.jpeg"/><Relationship Id="rId15" Type="http://schemas.openxmlformats.org/officeDocument/2006/relationships/image" Target="media/image1.jpeg" TargetMode="External"/><Relationship Id="rId16" Type="http://schemas.openxmlformats.org/officeDocument/2006/relationships/image" Target="media/image2.jpeg"/><Relationship Id="rId17" Type="http://schemas.openxmlformats.org/officeDocument/2006/relationships/image" Target="media/image2.jpeg" TargetMode="External"/><Relationship Id="rId18" Type="http://schemas.openxmlformats.org/officeDocument/2006/relationships/image" Target="media/image3.jpeg"/><Relationship Id="rId19" Type="http://schemas.openxmlformats.org/officeDocument/2006/relationships/image" Target="media/image3.jpeg" TargetMode="External"/><Relationship Id="rId20" Type="http://schemas.openxmlformats.org/officeDocument/2006/relationships/footer" Target="footer10.xml"/><Relationship Id="rId21" Type="http://schemas.openxmlformats.org/officeDocument/2006/relationships/footer" Target="footer11.xml"/><Relationship Id="rId22" Type="http://schemas.openxmlformats.org/officeDocument/2006/relationships/footer" Target="footer12.xml"/><Relationship Id="rId23" Type="http://schemas.openxmlformats.org/officeDocument/2006/relationships/footer" Target="footer13.xml"/><Relationship Id="rId24" Type="http://schemas.openxmlformats.org/officeDocument/2006/relationships/image" Target="media/image4.jpeg"/><Relationship Id="rId25" Type="http://schemas.openxmlformats.org/officeDocument/2006/relationships/image" Target="media/image4.jpeg" TargetMode="External"/><Relationship Id="rId26" Type="http://schemas.openxmlformats.org/officeDocument/2006/relationships/image" Target="media/image5.jpeg"/><Relationship Id="rId27" Type="http://schemas.openxmlformats.org/officeDocument/2006/relationships/image" Target="media/image5.jpeg" TargetMode="External"/><Relationship Id="rId28" Type="http://schemas.openxmlformats.org/officeDocument/2006/relationships/footer" Target="footer14.xml"/><Relationship Id="rId29" Type="http://schemas.openxmlformats.org/officeDocument/2006/relationships/footer" Target="footer15.xml"/><Relationship Id="rId30" Type="http://schemas.openxmlformats.org/officeDocument/2006/relationships/footer" Target="footer16.xml"/><Relationship Id="rId31" Type="http://schemas.openxmlformats.org/officeDocument/2006/relationships/footer" Target="footer17.xml"/><Relationship Id="rId32" Type="http://schemas.openxmlformats.org/officeDocument/2006/relationships/footer" Target="footer18.xml"/><Relationship Id="rId33" Type="http://schemas.openxmlformats.org/officeDocument/2006/relationships/footer" Target="footer19.xml"/><Relationship Id="rId34" Type="http://schemas.openxmlformats.org/officeDocument/2006/relationships/footer" Target="footer20.xml"/><Relationship Id="rId35" Type="http://schemas.openxmlformats.org/officeDocument/2006/relationships/footer" Target="footer21.xml"/><Relationship Id="rId36" Type="http://schemas.openxmlformats.org/officeDocument/2006/relationships/footer" Target="footer22.xml"/><Relationship Id="rId37" Type="http://schemas.openxmlformats.org/officeDocument/2006/relationships/footer" Target="footer23.xml"/><Relationship Id="rId38" Type="http://schemas.openxmlformats.org/officeDocument/2006/relationships/image" Target="media/image6.jpeg"/><Relationship Id="rId39" Type="http://schemas.openxmlformats.org/officeDocument/2006/relationships/image" Target="media/image6.jpeg" TargetMode="External"/><Relationship Id="rId40" Type="http://schemas.openxmlformats.org/officeDocument/2006/relationships/image" Target="media/image7.jpeg"/><Relationship Id="rId41" Type="http://schemas.openxmlformats.org/officeDocument/2006/relationships/image" Target="media/image7.jpeg" TargetMode="External"/><Relationship Id="rId42" Type="http://schemas.openxmlformats.org/officeDocument/2006/relationships/image" Target="media/image8.jpeg"/><Relationship Id="rId43" Type="http://schemas.openxmlformats.org/officeDocument/2006/relationships/image" Target="media/image8.jpeg" TargetMode="External"/><Relationship Id="rId44" Type="http://schemas.openxmlformats.org/officeDocument/2006/relationships/image" Target="media/image9.jpeg"/><Relationship Id="rId45" Type="http://schemas.openxmlformats.org/officeDocument/2006/relationships/image" Target="media/image9.jpeg" TargetMode="External"/><Relationship Id="rId46" Type="http://schemas.openxmlformats.org/officeDocument/2006/relationships/image" Target="media/image10.jpeg"/><Relationship Id="rId47" Type="http://schemas.openxmlformats.org/officeDocument/2006/relationships/image" Target="media/image10.jpeg" TargetMode="External"/><Relationship Id="rId48" Type="http://schemas.openxmlformats.org/officeDocument/2006/relationships/image" Target="media/image11.jpeg"/><Relationship Id="rId49" Type="http://schemas.openxmlformats.org/officeDocument/2006/relationships/image" Target="media/image11.jpeg" TargetMode="External"/><Relationship Id="rId50" Type="http://schemas.openxmlformats.org/officeDocument/2006/relationships/image" Target="media/image12.jpeg"/><Relationship Id="rId51" Type="http://schemas.openxmlformats.org/officeDocument/2006/relationships/image" Target="media/image12.jpeg" TargetMode="External"/><Relationship Id="rId52" Type="http://schemas.openxmlformats.org/officeDocument/2006/relationships/footer" Target="footer24.xml"/><Relationship Id="rId53" Type="http://schemas.openxmlformats.org/officeDocument/2006/relationships/footer" Target="footer25.xml"/><Relationship Id="rId54" Type="http://schemas.openxmlformats.org/officeDocument/2006/relationships/image" Target="media/image13.jpeg"/><Relationship Id="rId55" Type="http://schemas.openxmlformats.org/officeDocument/2006/relationships/image" Target="media/image13.jpeg" TargetMode="External"/><Relationship Id="rId56" Type="http://schemas.openxmlformats.org/officeDocument/2006/relationships/footer" Target="footer26.xml"/><Relationship Id="rId57" Type="http://schemas.openxmlformats.org/officeDocument/2006/relationships/footer" Target="footer27.xml"/><Relationship Id="rId58" Type="http://schemas.openxmlformats.org/officeDocument/2006/relationships/footer" Target="footer28.xml"/><Relationship Id="rId59" Type="http://schemas.openxmlformats.org/officeDocument/2006/relationships/footer" Target="footer29.xml"/><Relationship Id="rId60" Type="http://schemas.openxmlformats.org/officeDocument/2006/relationships/image" Target="media/image14.jpeg"/><Relationship Id="rId61" Type="http://schemas.openxmlformats.org/officeDocument/2006/relationships/image" Target="media/image14.jpeg" TargetMode="External"/><Relationship Id="rId62" Type="http://schemas.openxmlformats.org/officeDocument/2006/relationships/image" Target="media/image15.jpeg"/><Relationship Id="rId63" Type="http://schemas.openxmlformats.org/officeDocument/2006/relationships/image" Target="media/image15.jpeg" TargetMode="External"/><Relationship Id="rId64" Type="http://schemas.openxmlformats.org/officeDocument/2006/relationships/footer" Target="footer30.xml"/><Relationship Id="rId65" Type="http://schemas.openxmlformats.org/officeDocument/2006/relationships/footer" Target="footer31.xml"/><Relationship Id="rId66" Type="http://schemas.openxmlformats.org/officeDocument/2006/relationships/footer" Target="footer32.xml"/><Relationship Id="rId67" Type="http://schemas.openxmlformats.org/officeDocument/2006/relationships/footer" Target="footer33.xml"/><Relationship Id="rId68" Type="http://schemas.openxmlformats.org/officeDocument/2006/relationships/footer" Target="footer34.xml"/><Relationship Id="rId69" Type="http://schemas.openxmlformats.org/officeDocument/2006/relationships/footer" Target="footer35.xml"/><Relationship Id="rId70" Type="http://schemas.openxmlformats.org/officeDocument/2006/relationships/footer" Target="footer36.xml"/><Relationship Id="rId71" Type="http://schemas.openxmlformats.org/officeDocument/2006/relationships/footer" Target="footer37.xml"/><Relationship Id="rId72" Type="http://schemas.openxmlformats.org/officeDocument/2006/relationships/footer" Target="footer38.xml"/><Relationship Id="rId73" Type="http://schemas.openxmlformats.org/officeDocument/2006/relationships/footer" Target="footer39.xml"/><Relationship Id="rId74" Type="http://schemas.openxmlformats.org/officeDocument/2006/relationships/footer" Target="footer40.xml"/><Relationship Id="rId75" Type="http://schemas.openxmlformats.org/officeDocument/2006/relationships/footer" Target="footer41.xml"/><Relationship Id="rId76" Type="http://schemas.openxmlformats.org/officeDocument/2006/relationships/footer" Target="footer42.xml"/><Relationship Id="rId77" Type="http://schemas.openxmlformats.org/officeDocument/2006/relationships/footer" Target="footer43.xml"/><Relationship Id="rId78" Type="http://schemas.openxmlformats.org/officeDocument/2006/relationships/image" Target="media/image16.jpeg"/><Relationship Id="rId79" Type="http://schemas.openxmlformats.org/officeDocument/2006/relationships/image" Target="media/image16.jpeg" TargetMode="External"/><Relationship Id="rId80" Type="http://schemas.openxmlformats.org/officeDocument/2006/relationships/footer" Target="footer44.xml"/><Relationship Id="rId81" Type="http://schemas.openxmlformats.org/officeDocument/2006/relationships/footer" Target="footer45.xml"/><Relationship Id="rId82" Type="http://schemas.openxmlformats.org/officeDocument/2006/relationships/footer" Target="footer46.xml"/><Relationship Id="rId83" Type="http://schemas.openxmlformats.org/officeDocument/2006/relationships/footer" Target="footer47.xml"/><Relationship Id="rId84" Type="http://schemas.openxmlformats.org/officeDocument/2006/relationships/footer" Target="footer48.xml"/><Relationship Id="rId85" Type="http://schemas.openxmlformats.org/officeDocument/2006/relationships/footer" Target="footer49.xml"/><Relationship Id="rId86" Type="http://schemas.openxmlformats.org/officeDocument/2006/relationships/footer" Target="footer50.xml"/><Relationship Id="rId87" Type="http://schemas.openxmlformats.org/officeDocument/2006/relationships/footer" Target="footer51.xml"/><Relationship Id="rId88" Type="http://schemas.openxmlformats.org/officeDocument/2006/relationships/image" Target="media/image17.jpeg"/><Relationship Id="rId89" Type="http://schemas.openxmlformats.org/officeDocument/2006/relationships/image" Target="media/image17.jpeg" TargetMode="External"/><Relationship Id="rId90" Type="http://schemas.openxmlformats.org/officeDocument/2006/relationships/footer" Target="footer52.xml"/><Relationship Id="rId91" Type="http://schemas.openxmlformats.org/officeDocument/2006/relationships/footer" Target="footer53.xml"/><Relationship Id="rId92" Type="http://schemas.openxmlformats.org/officeDocument/2006/relationships/footer" Target="footer54.xml"/><Relationship Id="rId93" Type="http://schemas.openxmlformats.org/officeDocument/2006/relationships/footer" Target="footer55.xml"/><Relationship Id="rId94" Type="http://schemas.openxmlformats.org/officeDocument/2006/relationships/image" Target="media/image18.jpeg"/><Relationship Id="rId95" Type="http://schemas.openxmlformats.org/officeDocument/2006/relationships/image" Target="media/image18.jpeg" TargetMode="External"/><Relationship Id="rId96" Type="http://schemas.openxmlformats.org/officeDocument/2006/relationships/image" Target="media/image19.jpeg"/><Relationship Id="rId97" Type="http://schemas.openxmlformats.org/officeDocument/2006/relationships/image" Target="media/image19.jpeg" TargetMode="External"/><Relationship Id="rId98" Type="http://schemas.openxmlformats.org/officeDocument/2006/relationships/footer" Target="footer56.xml"/><Relationship Id="rId99" Type="http://schemas.openxmlformats.org/officeDocument/2006/relationships/footer" Target="footer57.xml"/><Relationship Id="rId100" Type="http://schemas.openxmlformats.org/officeDocument/2006/relationships/footer" Target="footer58.xml"/><Relationship Id="rId101" Type="http://schemas.openxmlformats.org/officeDocument/2006/relationships/footer" Target="footer59.xml"/><Relationship Id="rId102" Type="http://schemas.openxmlformats.org/officeDocument/2006/relationships/footer" Target="footer60.xml"/><Relationship Id="rId103" Type="http://schemas.openxmlformats.org/officeDocument/2006/relationships/footer" Target="footer61.xml"/><Relationship Id="rId104" Type="http://schemas.openxmlformats.org/officeDocument/2006/relationships/footer" Target="footer62.xml"/><Relationship Id="rId105" Type="http://schemas.openxmlformats.org/officeDocument/2006/relationships/footer" Target="footer63.xml"/><Relationship Id="rId106" Type="http://schemas.openxmlformats.org/officeDocument/2006/relationships/footer" Target="footer64.xml"/><Relationship Id="rId107" Type="http://schemas.openxmlformats.org/officeDocument/2006/relationships/footer" Target="footer65.xml"/><Relationship Id="rId108" Type="http://schemas.openxmlformats.org/officeDocument/2006/relationships/image" Target="media/image20.jpeg"/><Relationship Id="rId109" Type="http://schemas.openxmlformats.org/officeDocument/2006/relationships/image" Target="media/image20.jpeg" TargetMode="External"/><Relationship Id="rId110" Type="http://schemas.openxmlformats.org/officeDocument/2006/relationships/footer" Target="footer66.xml"/><Relationship Id="rId111" Type="http://schemas.openxmlformats.org/officeDocument/2006/relationships/footer" Target="footer67.xml"/><Relationship Id="rId112" Type="http://schemas.openxmlformats.org/officeDocument/2006/relationships/image" Target="media/image21.jpeg"/><Relationship Id="rId113" Type="http://schemas.openxmlformats.org/officeDocument/2006/relationships/image" Target="media/image21.jpeg" TargetMode="External"/><Relationship Id="rId114" Type="http://schemas.openxmlformats.org/officeDocument/2006/relationships/footer" Target="footer68.xml"/><Relationship Id="rId115" Type="http://schemas.openxmlformats.org/officeDocument/2006/relationships/footer" Target="footer69.xml"/><Relationship Id="rId116" Type="http://schemas.openxmlformats.org/officeDocument/2006/relationships/image" Target="media/image22.jpeg"/><Relationship Id="rId117" Type="http://schemas.openxmlformats.org/officeDocument/2006/relationships/image" Target="media/image22.jpeg" TargetMode="External"/><Relationship Id="rId118" Type="http://schemas.openxmlformats.org/officeDocument/2006/relationships/image" Target="media/image23.jpeg"/><Relationship Id="rId119" Type="http://schemas.openxmlformats.org/officeDocument/2006/relationships/image" Target="media/image23.jpeg" TargetMode="External"/><Relationship Id="rId120" Type="http://schemas.openxmlformats.org/officeDocument/2006/relationships/footer" Target="footer70.xml"/><Relationship Id="rId121" Type="http://schemas.openxmlformats.org/officeDocument/2006/relationships/footer" Target="footer71.xml"/><Relationship Id="rId122" Type="http://schemas.openxmlformats.org/officeDocument/2006/relationships/image" Target="media/image24.jpeg"/><Relationship Id="rId123" Type="http://schemas.openxmlformats.org/officeDocument/2006/relationships/image" Target="media/image24.jpeg" TargetMode="External"/><Relationship Id="rId124" Type="http://schemas.openxmlformats.org/officeDocument/2006/relationships/footer" Target="footer72.xml"/><Relationship Id="rId125" Type="http://schemas.openxmlformats.org/officeDocument/2006/relationships/footer" Target="footer73.xml"/><Relationship Id="rId126" Type="http://schemas.openxmlformats.org/officeDocument/2006/relationships/image" Target="media/image25.jpeg"/><Relationship Id="rId127" Type="http://schemas.openxmlformats.org/officeDocument/2006/relationships/image" Target="media/image25.jpeg" TargetMode="External"/><Relationship Id="rId128" Type="http://schemas.openxmlformats.org/officeDocument/2006/relationships/footer" Target="footer74.xml"/><Relationship Id="rId129" Type="http://schemas.openxmlformats.org/officeDocument/2006/relationships/footer" Target="footer75.xml"/><Relationship Id="rId130" Type="http://schemas.openxmlformats.org/officeDocument/2006/relationships/image" Target="media/image26.jpeg"/><Relationship Id="rId131" Type="http://schemas.openxmlformats.org/officeDocument/2006/relationships/image" Target="media/image26.jpeg" TargetMode="External"/><Relationship Id="rId132" Type="http://schemas.openxmlformats.org/officeDocument/2006/relationships/image" Target="media/image27.jpeg"/><Relationship Id="rId133" Type="http://schemas.openxmlformats.org/officeDocument/2006/relationships/image" Target="media/image27.jpeg" TargetMode="External"/><Relationship Id="rId134" Type="http://schemas.openxmlformats.org/officeDocument/2006/relationships/image" Target="media/image28.jpeg"/><Relationship Id="rId135" Type="http://schemas.openxmlformats.org/officeDocument/2006/relationships/image" Target="media/image28.jpeg" TargetMode="External"/><Relationship Id="rId136" Type="http://schemas.openxmlformats.org/officeDocument/2006/relationships/footer" Target="footer76.xml"/><Relationship Id="rId137" Type="http://schemas.openxmlformats.org/officeDocument/2006/relationships/footer" Target="footer77.xml"/><Relationship Id="rId138" Type="http://schemas.openxmlformats.org/officeDocument/2006/relationships/image" Target="media/image29.jpeg"/><Relationship Id="rId139" Type="http://schemas.openxmlformats.org/officeDocument/2006/relationships/image" Target="media/image29.jpeg" TargetMode="External"/><Relationship Id="rId140" Type="http://schemas.openxmlformats.org/officeDocument/2006/relationships/footer" Target="footer78.xml"/><Relationship Id="rId141" Type="http://schemas.openxmlformats.org/officeDocument/2006/relationships/footer" Target="footer79.xml"/><Relationship Id="rId142" Type="http://schemas.openxmlformats.org/officeDocument/2006/relationships/footer" Target="footer80.xml"/><Relationship Id="rId143" Type="http://schemas.openxmlformats.org/officeDocument/2006/relationships/footer" Target="footer81.xml"/><Relationship Id="rId144" Type="http://schemas.openxmlformats.org/officeDocument/2006/relationships/footer" Target="footer82.xml"/><Relationship Id="rId145" Type="http://schemas.openxmlformats.org/officeDocument/2006/relationships/footer" Target="footer83.xml"/><Relationship Id="rId146" Type="http://schemas.openxmlformats.org/officeDocument/2006/relationships/footer" Target="footer84.xml"/><Relationship Id="rId147" Type="http://schemas.openxmlformats.org/officeDocument/2006/relationships/footer" Target="footer85.xml"/><Relationship Id="rId148" Type="http://schemas.openxmlformats.org/officeDocument/2006/relationships/footer" Target="footer86.xml"/><Relationship Id="rId149" Type="http://schemas.openxmlformats.org/officeDocument/2006/relationships/footer" Target="footer87.xml"/><Relationship Id="rId150" Type="http://schemas.openxmlformats.org/officeDocument/2006/relationships/header" Target="header1.xml"/><Relationship Id="rId151" Type="http://schemas.openxmlformats.org/officeDocument/2006/relationships/footer" Target="footer88.xml"/><Relationship Id="rId152" Type="http://schemas.openxmlformats.org/officeDocument/2006/relationships/header" Target="header2.xml"/><Relationship Id="rId153" Type="http://schemas.openxmlformats.org/officeDocument/2006/relationships/footer" Target="footer89.xml"/><Relationship Id="rId154" Type="http://schemas.openxmlformats.org/officeDocument/2006/relationships/header" Target="header3.xml"/><Relationship Id="rId155" Type="http://schemas.openxmlformats.org/officeDocument/2006/relationships/footer" Target="footer90.xml"/><Relationship Id="rId156" Type="http://schemas.openxmlformats.org/officeDocument/2006/relationships/header" Target="header4.xml"/><Relationship Id="rId157" Type="http://schemas.openxmlformats.org/officeDocument/2006/relationships/footer" Target="footer91.xml"/><Relationship Id="rId158" Type="http://schemas.openxmlformats.org/officeDocument/2006/relationships/header" Target="header5.xml"/><Relationship Id="rId159" Type="http://schemas.openxmlformats.org/officeDocument/2006/relationships/footer" Target="footer92.xml"/><Relationship Id="rId160" Type="http://schemas.openxmlformats.org/officeDocument/2006/relationships/header" Target="header6.xml"/><Relationship Id="rId161" Type="http://schemas.openxmlformats.org/officeDocument/2006/relationships/footer" Target="footer93.xml"/><Relationship Id="rId162" Type="http://schemas.openxmlformats.org/officeDocument/2006/relationships/header" Target="header7.xml"/><Relationship Id="rId163" Type="http://schemas.openxmlformats.org/officeDocument/2006/relationships/footer" Target="footer94.xml"/><Relationship Id="rId164" Type="http://schemas.openxmlformats.org/officeDocument/2006/relationships/header" Target="header8.xml"/><Relationship Id="rId165" Type="http://schemas.openxmlformats.org/officeDocument/2006/relationships/footer" Target="footer95.xml"/><Relationship Id="rId166" Type="http://schemas.openxmlformats.org/officeDocument/2006/relationships/header" Target="header9.xml"/><Relationship Id="rId167" Type="http://schemas.openxmlformats.org/officeDocument/2006/relationships/footer" Target="footer96.xml"/><Relationship Id="rId168" Type="http://schemas.openxmlformats.org/officeDocument/2006/relationships/image" Target="media/image30.jpeg"/><Relationship Id="rId169" Type="http://schemas.openxmlformats.org/officeDocument/2006/relationships/image" Target="media/image30.jpeg" TargetMode="External"/><Relationship Id="rId170" Type="http://schemas.openxmlformats.org/officeDocument/2006/relationships/image" Target="media/image31.jpeg"/><Relationship Id="rId171" Type="http://schemas.openxmlformats.org/officeDocument/2006/relationships/image" Target="media/image31.jpeg" TargetMode="External"/><Relationship Id="rId172" Type="http://schemas.openxmlformats.org/officeDocument/2006/relationships/header" Target="header10.xml"/><Relationship Id="rId173" Type="http://schemas.openxmlformats.org/officeDocument/2006/relationships/footer" Target="footer97.xml"/><Relationship Id="rId174" Type="http://schemas.openxmlformats.org/officeDocument/2006/relationships/header" Target="header11.xml"/><Relationship Id="rId175" Type="http://schemas.openxmlformats.org/officeDocument/2006/relationships/footer" Target="footer98.xml"/><Relationship Id="rId176" Type="http://schemas.openxmlformats.org/officeDocument/2006/relationships/header" Target="header12.xml"/><Relationship Id="rId177" Type="http://schemas.openxmlformats.org/officeDocument/2006/relationships/footer" Target="footer99.xml"/><Relationship Id="rId178" Type="http://schemas.openxmlformats.org/officeDocument/2006/relationships/header" Target="header13.xml"/><Relationship Id="rId179" Type="http://schemas.openxmlformats.org/officeDocument/2006/relationships/footer" Target="footer100.xml"/><Relationship Id="rId180" Type="http://schemas.openxmlformats.org/officeDocument/2006/relationships/header" Target="header14.xml"/><Relationship Id="rId181" Type="http://schemas.openxmlformats.org/officeDocument/2006/relationships/footer" Target="footer101.xml"/><Relationship Id="rId182" Type="http://schemas.openxmlformats.org/officeDocument/2006/relationships/header" Target="header15.xml"/><Relationship Id="rId183" Type="http://schemas.openxmlformats.org/officeDocument/2006/relationships/footer" Target="footer102.xml"/><Relationship Id="rId184" Type="http://schemas.openxmlformats.org/officeDocument/2006/relationships/image" Target="media/image32.jpeg"/><Relationship Id="rId185" Type="http://schemas.openxmlformats.org/officeDocument/2006/relationships/image" Target="media/image32.jpeg" TargetMode="External"/><Relationship Id="rId186" Type="http://schemas.openxmlformats.org/officeDocument/2006/relationships/header" Target="header16.xml"/><Relationship Id="rId187" Type="http://schemas.openxmlformats.org/officeDocument/2006/relationships/footer" Target="footer103.xml"/><Relationship Id="rId188" Type="http://schemas.openxmlformats.org/officeDocument/2006/relationships/header" Target="header17.xml"/><Relationship Id="rId189" Type="http://schemas.openxmlformats.org/officeDocument/2006/relationships/footer" Target="footer104.xml"/><Relationship Id="rId190" Type="http://schemas.openxmlformats.org/officeDocument/2006/relationships/header" Target="header18.xml"/><Relationship Id="rId191" Type="http://schemas.openxmlformats.org/officeDocument/2006/relationships/footer" Target="footer105.xml"/><Relationship Id="rId192" Type="http://schemas.openxmlformats.org/officeDocument/2006/relationships/header" Target="header19.xml"/><Relationship Id="rId193" Type="http://schemas.openxmlformats.org/officeDocument/2006/relationships/footer" Target="footer106.xml"/><Relationship Id="rId194" Type="http://schemas.openxmlformats.org/officeDocument/2006/relationships/header" Target="header20.xml"/><Relationship Id="rId195" Type="http://schemas.openxmlformats.org/officeDocument/2006/relationships/footer" Target="footer107.xml"/><Relationship Id="rId196" Type="http://schemas.openxmlformats.org/officeDocument/2006/relationships/header" Target="header21.xml"/><Relationship Id="rId197" Type="http://schemas.openxmlformats.org/officeDocument/2006/relationships/footer" Target="footer108.xml"/><Relationship Id="rId198" Type="http://schemas.openxmlformats.org/officeDocument/2006/relationships/header" Target="header22.xml"/><Relationship Id="rId199" Type="http://schemas.openxmlformats.org/officeDocument/2006/relationships/footer" Target="footer109.xml"/><Relationship Id="rId200" Type="http://schemas.openxmlformats.org/officeDocument/2006/relationships/header" Target="header23.xml"/><Relationship Id="rId201" Type="http://schemas.openxmlformats.org/officeDocument/2006/relationships/footer" Target="footer110.xml"/><Relationship Id="rId202" Type="http://schemas.openxmlformats.org/officeDocument/2006/relationships/header" Target="header24.xml"/><Relationship Id="rId203" Type="http://schemas.openxmlformats.org/officeDocument/2006/relationships/footer" Target="footer111.xml"/><Relationship Id="rId204" Type="http://schemas.openxmlformats.org/officeDocument/2006/relationships/header" Target="header25.xml"/><Relationship Id="rId205" Type="http://schemas.openxmlformats.org/officeDocument/2006/relationships/footer" Target="footer112.xml"/><Relationship Id="rId206" Type="http://schemas.openxmlformats.org/officeDocument/2006/relationships/header" Target="header26.xml"/><Relationship Id="rId207" Type="http://schemas.openxmlformats.org/officeDocument/2006/relationships/footer" Target="footer113.xml"/><Relationship Id="rId208" Type="http://schemas.openxmlformats.org/officeDocument/2006/relationships/header" Target="header27.xml"/><Relationship Id="rId209" Type="http://schemas.openxmlformats.org/officeDocument/2006/relationships/footer" Target="footer114.xml"/><Relationship Id="rId210" Type="http://schemas.openxmlformats.org/officeDocument/2006/relationships/header" Target="header28.xml"/><Relationship Id="rId211" Type="http://schemas.openxmlformats.org/officeDocument/2006/relationships/footer" Target="footer115.xml"/><Relationship Id="rId212" Type="http://schemas.openxmlformats.org/officeDocument/2006/relationships/header" Target="header29.xml"/><Relationship Id="rId213" Type="http://schemas.openxmlformats.org/officeDocument/2006/relationships/footer" Target="footer116.xml"/><Relationship Id="rId214" Type="http://schemas.openxmlformats.org/officeDocument/2006/relationships/header" Target="header30.xml"/><Relationship Id="rId215" Type="http://schemas.openxmlformats.org/officeDocument/2006/relationships/footer" Target="footer117.xml"/><Relationship Id="rId216" Type="http://schemas.openxmlformats.org/officeDocument/2006/relationships/header" Target="header31.xml"/><Relationship Id="rId217" Type="http://schemas.openxmlformats.org/officeDocument/2006/relationships/footer" Target="footer118.xml"/><Relationship Id="rId218" Type="http://schemas.openxmlformats.org/officeDocument/2006/relationships/header" Target="header32.xml"/><Relationship Id="rId219" Type="http://schemas.openxmlformats.org/officeDocument/2006/relationships/footer" Target="footer119.xml"/><Relationship Id="rId220" Type="http://schemas.openxmlformats.org/officeDocument/2006/relationships/header" Target="header33.xml"/><Relationship Id="rId221" Type="http://schemas.openxmlformats.org/officeDocument/2006/relationships/footer" Target="footer120.xml"/><Relationship Id="rId222" Type="http://schemas.openxmlformats.org/officeDocument/2006/relationships/header" Target="header34.xml"/><Relationship Id="rId223" Type="http://schemas.openxmlformats.org/officeDocument/2006/relationships/footer" Target="footer121.xml"/><Relationship Id="rId224" Type="http://schemas.openxmlformats.org/officeDocument/2006/relationships/header" Target="header35.xml"/><Relationship Id="rId225" Type="http://schemas.openxmlformats.org/officeDocument/2006/relationships/footer" Target="footer122.xml"/><Relationship Id="rId226" Type="http://schemas.openxmlformats.org/officeDocument/2006/relationships/header" Target="header36.xml"/><Relationship Id="rId227" Type="http://schemas.openxmlformats.org/officeDocument/2006/relationships/footer" Target="footer123.xml"/><Relationship Id="rId228" Type="http://schemas.openxmlformats.org/officeDocument/2006/relationships/header" Target="header37.xml"/><Relationship Id="rId229" Type="http://schemas.openxmlformats.org/officeDocument/2006/relationships/footer" Target="footer124.xml"/><Relationship Id="rId230" Type="http://schemas.openxmlformats.org/officeDocument/2006/relationships/header" Target="header38.xml"/><Relationship Id="rId231" Type="http://schemas.openxmlformats.org/officeDocument/2006/relationships/footer" Target="footer125.xml"/><Relationship Id="rId232" Type="http://schemas.openxmlformats.org/officeDocument/2006/relationships/header" Target="header39.xml"/><Relationship Id="rId233" Type="http://schemas.openxmlformats.org/officeDocument/2006/relationships/footer" Target="footer126.xml"/><Relationship Id="rId234" Type="http://schemas.openxmlformats.org/officeDocument/2006/relationships/header" Target="header40.xml"/><Relationship Id="rId235" Type="http://schemas.openxmlformats.org/officeDocument/2006/relationships/footer" Target="footer127.xml"/><Relationship Id="rId236" Type="http://schemas.openxmlformats.org/officeDocument/2006/relationships/image" Target="media/image33.jpeg"/><Relationship Id="rId237" Type="http://schemas.openxmlformats.org/officeDocument/2006/relationships/image" Target="media/image33.jpeg" TargetMode="External"/><Relationship Id="rId238" Type="http://schemas.openxmlformats.org/officeDocument/2006/relationships/header" Target="header41.xml"/><Relationship Id="rId239" Type="http://schemas.openxmlformats.org/officeDocument/2006/relationships/footer" Target="footer128.xml"/><Relationship Id="rId240" Type="http://schemas.openxmlformats.org/officeDocument/2006/relationships/header" Target="header42.xml"/><Relationship Id="rId241" Type="http://schemas.openxmlformats.org/officeDocument/2006/relationships/footer" Target="footer129.xml"/><Relationship Id="rId242" Type="http://schemas.openxmlformats.org/officeDocument/2006/relationships/image" Target="media/image34.jpeg"/><Relationship Id="rId243" Type="http://schemas.openxmlformats.org/officeDocument/2006/relationships/image" Target="media/image34.jpeg" TargetMode="External"/><Relationship Id="rId244" Type="http://schemas.openxmlformats.org/officeDocument/2006/relationships/image" Target="media/image35.jpeg"/><Relationship Id="rId245" Type="http://schemas.openxmlformats.org/officeDocument/2006/relationships/image" Target="media/image35.jpeg" TargetMode="External"/><Relationship Id="rId246" Type="http://schemas.openxmlformats.org/officeDocument/2006/relationships/image" Target="media/image36.jpeg"/><Relationship Id="rId247" Type="http://schemas.openxmlformats.org/officeDocument/2006/relationships/image" Target="media/image36.jpeg" TargetMode="External"/><Relationship Id="rId248" Type="http://schemas.openxmlformats.org/officeDocument/2006/relationships/header" Target="header43.xml"/><Relationship Id="rId249" Type="http://schemas.openxmlformats.org/officeDocument/2006/relationships/footer" Target="footer130.xml"/><Relationship Id="rId250" Type="http://schemas.openxmlformats.org/officeDocument/2006/relationships/header" Target="header44.xml"/><Relationship Id="rId251" Type="http://schemas.openxmlformats.org/officeDocument/2006/relationships/footer" Target="footer131.xml"/><Relationship Id="rId252" Type="http://schemas.openxmlformats.org/officeDocument/2006/relationships/image" Target="media/image37.jpeg"/><Relationship Id="rId253" Type="http://schemas.openxmlformats.org/officeDocument/2006/relationships/image" Target="media/image37.jpeg" TargetMode="External"/><Relationship Id="rId254" Type="http://schemas.openxmlformats.org/officeDocument/2006/relationships/header" Target="header45.xml"/><Relationship Id="rId255" Type="http://schemas.openxmlformats.org/officeDocument/2006/relationships/footer" Target="footer132.xml"/><Relationship Id="rId256" Type="http://schemas.openxmlformats.org/officeDocument/2006/relationships/header" Target="header46.xml"/><Relationship Id="rId257" Type="http://schemas.openxmlformats.org/officeDocument/2006/relationships/footer" Target="footer133.xml"/><Relationship Id="rId258" Type="http://schemas.openxmlformats.org/officeDocument/2006/relationships/image" Target="media/image38.jpeg"/><Relationship Id="rId259" Type="http://schemas.openxmlformats.org/officeDocument/2006/relationships/image" Target="media/image38.jpeg" TargetMode="External"/><Relationship Id="rId260" Type="http://schemas.openxmlformats.org/officeDocument/2006/relationships/header" Target="header47.xml"/><Relationship Id="rId261" Type="http://schemas.openxmlformats.org/officeDocument/2006/relationships/footer" Target="footer134.xml"/><Relationship Id="rId262" Type="http://schemas.openxmlformats.org/officeDocument/2006/relationships/header" Target="header48.xml"/><Relationship Id="rId263" Type="http://schemas.openxmlformats.org/officeDocument/2006/relationships/footer" Target="footer135.xml"/><Relationship Id="rId264" Type="http://schemas.openxmlformats.org/officeDocument/2006/relationships/header" Target="header49.xml"/><Relationship Id="rId265" Type="http://schemas.openxmlformats.org/officeDocument/2006/relationships/footer" Target="footer136.xml"/><Relationship Id="rId266" Type="http://schemas.openxmlformats.org/officeDocument/2006/relationships/header" Target="header50.xml"/><Relationship Id="rId267" Type="http://schemas.openxmlformats.org/officeDocument/2006/relationships/footer" Target="footer137.xml"/><Relationship Id="rId268" Type="http://schemas.openxmlformats.org/officeDocument/2006/relationships/header" Target="header51.xml"/><Relationship Id="rId269" Type="http://schemas.openxmlformats.org/officeDocument/2006/relationships/footer" Target="footer138.xml"/><Relationship Id="rId270" Type="http://schemas.openxmlformats.org/officeDocument/2006/relationships/header" Target="header52.xml"/><Relationship Id="rId271" Type="http://schemas.openxmlformats.org/officeDocument/2006/relationships/footer" Target="footer139.xml"/><Relationship Id="rId272" Type="http://schemas.openxmlformats.org/officeDocument/2006/relationships/header" Target="header53.xml"/><Relationship Id="rId273" Type="http://schemas.openxmlformats.org/officeDocument/2006/relationships/footer" Target="footer140.xml"/><Relationship Id="rId274" Type="http://schemas.openxmlformats.org/officeDocument/2006/relationships/header" Target="header54.xml"/><Relationship Id="rId275" Type="http://schemas.openxmlformats.org/officeDocument/2006/relationships/footer" Target="footer141.xml"/><Relationship Id="rId276" Type="http://schemas.openxmlformats.org/officeDocument/2006/relationships/image" Target="media/image39.jpeg"/><Relationship Id="rId277" Type="http://schemas.openxmlformats.org/officeDocument/2006/relationships/image" Target="media/image39.jpeg" TargetMode="External"/><Relationship Id="rId278" Type="http://schemas.openxmlformats.org/officeDocument/2006/relationships/header" Target="header55.xml"/><Relationship Id="rId279" Type="http://schemas.openxmlformats.org/officeDocument/2006/relationships/footer" Target="footer142.xml"/><Relationship Id="rId280" Type="http://schemas.openxmlformats.org/officeDocument/2006/relationships/header" Target="header56.xml"/><Relationship Id="rId281" Type="http://schemas.openxmlformats.org/officeDocument/2006/relationships/footer" Target="footer143.xml"/><Relationship Id="rId282" Type="http://schemas.openxmlformats.org/officeDocument/2006/relationships/header" Target="header57.xml"/><Relationship Id="rId283" Type="http://schemas.openxmlformats.org/officeDocument/2006/relationships/footer" Target="footer144.xml"/><Relationship Id="rId284" Type="http://schemas.openxmlformats.org/officeDocument/2006/relationships/header" Target="header58.xml"/><Relationship Id="rId285" Type="http://schemas.openxmlformats.org/officeDocument/2006/relationships/footer" Target="footer145.xml"/><Relationship Id="rId286" Type="http://schemas.openxmlformats.org/officeDocument/2006/relationships/header" Target="header59.xml"/><Relationship Id="rId287" Type="http://schemas.openxmlformats.org/officeDocument/2006/relationships/footer" Target="footer146.xml"/><Relationship Id="rId288" Type="http://schemas.openxmlformats.org/officeDocument/2006/relationships/header" Target="header60.xml"/><Relationship Id="rId289" Type="http://schemas.openxmlformats.org/officeDocument/2006/relationships/footer" Target="footer147.xml"/><Relationship Id="rId290" Type="http://schemas.openxmlformats.org/officeDocument/2006/relationships/header" Target="header61.xml"/><Relationship Id="rId291" Type="http://schemas.openxmlformats.org/officeDocument/2006/relationships/footer" Target="footer148.xml"/><Relationship Id="rId292" Type="http://schemas.openxmlformats.org/officeDocument/2006/relationships/header" Target="header62.xml"/><Relationship Id="rId293" Type="http://schemas.openxmlformats.org/officeDocument/2006/relationships/footer" Target="footer149.xml"/><Relationship Id="rId294" Type="http://schemas.openxmlformats.org/officeDocument/2006/relationships/header" Target="header63.xml"/><Relationship Id="rId295" Type="http://schemas.openxmlformats.org/officeDocument/2006/relationships/footer" Target="footer150.xml"/><Relationship Id="rId296" Type="http://schemas.openxmlformats.org/officeDocument/2006/relationships/header" Target="header64.xml"/><Relationship Id="rId297" Type="http://schemas.openxmlformats.org/officeDocument/2006/relationships/footer" Target="footer151.xml"/><Relationship Id="rId298" Type="http://schemas.openxmlformats.org/officeDocument/2006/relationships/header" Target="header65.xml"/><Relationship Id="rId299" Type="http://schemas.openxmlformats.org/officeDocument/2006/relationships/footer" Target="footer152.xml"/><Relationship Id="rId300" Type="http://schemas.openxmlformats.org/officeDocument/2006/relationships/header" Target="header66.xml"/><Relationship Id="rId301" Type="http://schemas.openxmlformats.org/officeDocument/2006/relationships/footer" Target="footer153.xml"/><Relationship Id="rId302" Type="http://schemas.openxmlformats.org/officeDocument/2006/relationships/header" Target="header67.xml"/><Relationship Id="rId303" Type="http://schemas.openxmlformats.org/officeDocument/2006/relationships/footer" Target="footer154.xml"/><Relationship Id="rId304" Type="http://schemas.openxmlformats.org/officeDocument/2006/relationships/header" Target="header68.xml"/><Relationship Id="rId305" Type="http://schemas.openxmlformats.org/officeDocument/2006/relationships/footer" Target="footer155.xml"/><Relationship Id="rId306" Type="http://schemas.openxmlformats.org/officeDocument/2006/relationships/header" Target="header69.xml"/><Relationship Id="rId307" Type="http://schemas.openxmlformats.org/officeDocument/2006/relationships/footer" Target="footer156.xml"/><Relationship Id="rId308" Type="http://schemas.openxmlformats.org/officeDocument/2006/relationships/header" Target="header70.xml"/><Relationship Id="rId309" Type="http://schemas.openxmlformats.org/officeDocument/2006/relationships/footer" Target="footer157.xml"/><Relationship Id="rId310" Type="http://schemas.openxmlformats.org/officeDocument/2006/relationships/header" Target="header71.xml"/><Relationship Id="rId311" Type="http://schemas.openxmlformats.org/officeDocument/2006/relationships/footer" Target="footer158.xml"/><Relationship Id="rId312" Type="http://schemas.openxmlformats.org/officeDocument/2006/relationships/header" Target="header72.xml"/><Relationship Id="rId313" Type="http://schemas.openxmlformats.org/officeDocument/2006/relationships/footer" Target="footer159.xml"/><Relationship Id="rId314" Type="http://schemas.openxmlformats.org/officeDocument/2006/relationships/header" Target="header73.xml"/><Relationship Id="rId315" Type="http://schemas.openxmlformats.org/officeDocument/2006/relationships/footer" Target="footer160.xml"/><Relationship Id="rId316" Type="http://schemas.openxmlformats.org/officeDocument/2006/relationships/header" Target="header74.xml"/><Relationship Id="rId317" Type="http://schemas.openxmlformats.org/officeDocument/2006/relationships/footer" Target="footer161.xml"/><Relationship Id="rId318" Type="http://schemas.openxmlformats.org/officeDocument/2006/relationships/header" Target="header75.xml"/><Relationship Id="rId319" Type="http://schemas.openxmlformats.org/officeDocument/2006/relationships/footer" Target="footer162.xml"/><Relationship Id="rId320" Type="http://schemas.openxmlformats.org/officeDocument/2006/relationships/header" Target="header76.xml"/><Relationship Id="rId321" Type="http://schemas.openxmlformats.org/officeDocument/2006/relationships/footer" Target="footer163.xml"/><Relationship Id="rId322" Type="http://schemas.openxmlformats.org/officeDocument/2006/relationships/header" Target="header77.xml"/><Relationship Id="rId323" Type="http://schemas.openxmlformats.org/officeDocument/2006/relationships/footer" Target="footer164.xml"/><Relationship Id="rId324" Type="http://schemas.openxmlformats.org/officeDocument/2006/relationships/image" Target="media/image40.jpeg"/><Relationship Id="rId325" Type="http://schemas.openxmlformats.org/officeDocument/2006/relationships/image" Target="media/image40.jpeg" TargetMode="External"/><Relationship Id="rId326" Type="http://schemas.openxmlformats.org/officeDocument/2006/relationships/image" Target="media/image41.png"/><Relationship Id="rId327" Type="http://schemas.openxmlformats.org/officeDocument/2006/relationships/image" Target="media/image41.png" TargetMode="External"/><Relationship Id="rId328" Type="http://schemas.openxmlformats.org/officeDocument/2006/relationships/header" Target="header78.xml"/><Relationship Id="rId329" Type="http://schemas.openxmlformats.org/officeDocument/2006/relationships/footer" Target="footer165.xml"/><Relationship Id="rId330" Type="http://schemas.openxmlformats.org/officeDocument/2006/relationships/header" Target="header79.xml"/><Relationship Id="rId331" Type="http://schemas.openxmlformats.org/officeDocument/2006/relationships/footer" Target="footer166.xml"/><Relationship Id="rId332" Type="http://schemas.openxmlformats.org/officeDocument/2006/relationships/header" Target="header80.xml"/><Relationship Id="rId333" Type="http://schemas.openxmlformats.org/officeDocument/2006/relationships/footer" Target="footer167.xml"/><Relationship Id="rId334" Type="http://schemas.openxmlformats.org/officeDocument/2006/relationships/header" Target="header81.xml"/><Relationship Id="rId335" Type="http://schemas.openxmlformats.org/officeDocument/2006/relationships/footer" Target="footer168.xml"/><Relationship Id="rId336" Type="http://schemas.openxmlformats.org/officeDocument/2006/relationships/image" Target="media/image42.jpeg"/><Relationship Id="rId337" Type="http://schemas.openxmlformats.org/officeDocument/2006/relationships/image" Target="media/image42.jpeg" TargetMode="External"/><Relationship Id="rId338" Type="http://schemas.openxmlformats.org/officeDocument/2006/relationships/header" Target="header82.xml"/><Relationship Id="rId339" Type="http://schemas.openxmlformats.org/officeDocument/2006/relationships/footer" Target="footer169.xml"/><Relationship Id="rId340" Type="http://schemas.openxmlformats.org/officeDocument/2006/relationships/header" Target="header83.xml"/><Relationship Id="rId341" Type="http://schemas.openxmlformats.org/officeDocument/2006/relationships/footer" Target="footer170.xml"/><Relationship Id="rId342" Type="http://schemas.openxmlformats.org/officeDocument/2006/relationships/image" Target="media/image43.jpeg"/><Relationship Id="rId343" Type="http://schemas.openxmlformats.org/officeDocument/2006/relationships/image" Target="media/image43.jpeg" TargetMode="External"/><Relationship Id="rId344" Type="http://schemas.openxmlformats.org/officeDocument/2006/relationships/header" Target="header84.xml"/><Relationship Id="rId345" Type="http://schemas.openxmlformats.org/officeDocument/2006/relationships/footer" Target="footer171.xml"/><Relationship Id="rId346" Type="http://schemas.openxmlformats.org/officeDocument/2006/relationships/header" Target="header85.xml"/><Relationship Id="rId347" Type="http://schemas.openxmlformats.org/officeDocument/2006/relationships/footer" Target="footer172.xml"/><Relationship Id="rId348" Type="http://schemas.openxmlformats.org/officeDocument/2006/relationships/header" Target="header86.xml"/><Relationship Id="rId349" Type="http://schemas.openxmlformats.org/officeDocument/2006/relationships/footer" Target="footer173.xml"/><Relationship Id="rId350" Type="http://schemas.openxmlformats.org/officeDocument/2006/relationships/header" Target="header87.xml"/><Relationship Id="rId351" Type="http://schemas.openxmlformats.org/officeDocument/2006/relationships/footer" Target="footer174.xml"/><Relationship Id="rId352" Type="http://schemas.openxmlformats.org/officeDocument/2006/relationships/header" Target="header88.xml"/><Relationship Id="rId353" Type="http://schemas.openxmlformats.org/officeDocument/2006/relationships/footer" Target="footer175.xml"/><Relationship Id="rId354" Type="http://schemas.openxmlformats.org/officeDocument/2006/relationships/header" Target="header89.xml"/><Relationship Id="rId355" Type="http://schemas.openxmlformats.org/officeDocument/2006/relationships/footer" Target="footer176.xml"/><Relationship Id="rId356" Type="http://schemas.openxmlformats.org/officeDocument/2006/relationships/header" Target="header90.xml"/><Relationship Id="rId357" Type="http://schemas.openxmlformats.org/officeDocument/2006/relationships/footer" Target="footer177.xml"/><Relationship Id="rId358" Type="http://schemas.openxmlformats.org/officeDocument/2006/relationships/header" Target="header91.xml"/><Relationship Id="rId359" Type="http://schemas.openxmlformats.org/officeDocument/2006/relationships/footer" Target="footer178.xml"/><Relationship Id="rId360" Type="http://schemas.openxmlformats.org/officeDocument/2006/relationships/header" Target="header92.xml"/><Relationship Id="rId361" Type="http://schemas.openxmlformats.org/officeDocument/2006/relationships/footer" Target="footer179.xml"/><Relationship Id="rId362" Type="http://schemas.openxmlformats.org/officeDocument/2006/relationships/header" Target="header93.xml"/><Relationship Id="rId363" Type="http://schemas.openxmlformats.org/officeDocument/2006/relationships/footer" Target="footer180.xml"/><Relationship Id="rId364" Type="http://schemas.openxmlformats.org/officeDocument/2006/relationships/image" Target="media/image44.jpeg"/><Relationship Id="rId365" Type="http://schemas.openxmlformats.org/officeDocument/2006/relationships/image" Target="media/image44.jpeg" TargetMode="External"/><Relationship Id="rId366" Type="http://schemas.openxmlformats.org/officeDocument/2006/relationships/header" Target="header94.xml"/><Relationship Id="rId367" Type="http://schemas.openxmlformats.org/officeDocument/2006/relationships/footer" Target="footer181.xml"/><Relationship Id="rId368" Type="http://schemas.openxmlformats.org/officeDocument/2006/relationships/header" Target="header95.xml"/><Relationship Id="rId369" Type="http://schemas.openxmlformats.org/officeDocument/2006/relationships/footer" Target="footer182.xml"/><Relationship Id="rId370" Type="http://schemas.openxmlformats.org/officeDocument/2006/relationships/header" Target="header96.xml"/><Relationship Id="rId371" Type="http://schemas.openxmlformats.org/officeDocument/2006/relationships/footer" Target="footer183.xml"/><Relationship Id="rId372" Type="http://schemas.openxmlformats.org/officeDocument/2006/relationships/header" Target="header97.xml"/><Relationship Id="rId373" Type="http://schemas.openxmlformats.org/officeDocument/2006/relationships/footer" Target="footer184.xml"/><Relationship Id="rId374" Type="http://schemas.openxmlformats.org/officeDocument/2006/relationships/header" Target="header98.xml"/><Relationship Id="rId375" Type="http://schemas.openxmlformats.org/officeDocument/2006/relationships/footer" Target="footer185.xml"/><Relationship Id="rId376" Type="http://schemas.openxmlformats.org/officeDocument/2006/relationships/header" Target="header99.xml"/><Relationship Id="rId377" Type="http://schemas.openxmlformats.org/officeDocument/2006/relationships/footer" Target="footer186.xml"/><Relationship Id="rId378" Type="http://schemas.openxmlformats.org/officeDocument/2006/relationships/header" Target="header100.xml"/><Relationship Id="rId379" Type="http://schemas.openxmlformats.org/officeDocument/2006/relationships/footer" Target="footer187.xml"/><Relationship Id="rId380" Type="http://schemas.openxmlformats.org/officeDocument/2006/relationships/image" Target="media/image45.png"/><Relationship Id="rId381" Type="http://schemas.openxmlformats.org/officeDocument/2006/relationships/image" Target="media/image45.png" TargetMode="External"/><Relationship Id="rId382" Type="http://schemas.openxmlformats.org/officeDocument/2006/relationships/header" Target="header101.xml"/><Relationship Id="rId383" Type="http://schemas.openxmlformats.org/officeDocument/2006/relationships/footer" Target="footer188.xml"/><Relationship Id="rId384" Type="http://schemas.openxmlformats.org/officeDocument/2006/relationships/header" Target="header102.xml"/><Relationship Id="rId385" Type="http://schemas.openxmlformats.org/officeDocument/2006/relationships/footer" Target="footer189.xml"/><Relationship Id="rId386" Type="http://schemas.openxmlformats.org/officeDocument/2006/relationships/header" Target="header103.xml"/><Relationship Id="rId387" Type="http://schemas.openxmlformats.org/officeDocument/2006/relationships/footer" Target="footer190.xml"/><Relationship Id="rId388" Type="http://schemas.openxmlformats.org/officeDocument/2006/relationships/header" Target="header104.xml"/><Relationship Id="rId389" Type="http://schemas.openxmlformats.org/officeDocument/2006/relationships/footer" Target="footer191.xml"/><Relationship Id="rId390" Type="http://schemas.openxmlformats.org/officeDocument/2006/relationships/header" Target="header105.xml"/><Relationship Id="rId391" Type="http://schemas.openxmlformats.org/officeDocument/2006/relationships/footer" Target="footer192.xml"/><Relationship Id="rId392" Type="http://schemas.openxmlformats.org/officeDocument/2006/relationships/header" Target="header106.xml"/><Relationship Id="rId393" Type="http://schemas.openxmlformats.org/officeDocument/2006/relationships/footer" Target="footer193.xml"/><Relationship Id="rId394" Type="http://schemas.openxmlformats.org/officeDocument/2006/relationships/header" Target="header107.xml"/><Relationship Id="rId395" Type="http://schemas.openxmlformats.org/officeDocument/2006/relationships/footer" Target="footer194.xml"/><Relationship Id="rId396" Type="http://schemas.openxmlformats.org/officeDocument/2006/relationships/header" Target="header108.xml"/><Relationship Id="rId397" Type="http://schemas.openxmlformats.org/officeDocument/2006/relationships/footer" Target="footer195.xml"/><Relationship Id="rId398" Type="http://schemas.openxmlformats.org/officeDocument/2006/relationships/header" Target="header109.xml"/><Relationship Id="rId399" Type="http://schemas.openxmlformats.org/officeDocument/2006/relationships/footer" Target="footer196.xml"/><Relationship Id="rId400" Type="http://schemas.openxmlformats.org/officeDocument/2006/relationships/image" Target="media/image46.jpeg"/><Relationship Id="rId401" Type="http://schemas.openxmlformats.org/officeDocument/2006/relationships/image" Target="media/image46.jpeg" TargetMode="External"/><Relationship Id="rId402" Type="http://schemas.openxmlformats.org/officeDocument/2006/relationships/header" Target="header110.xml"/><Relationship Id="rId403" Type="http://schemas.openxmlformats.org/officeDocument/2006/relationships/footer" Target="footer197.xml"/><Relationship Id="rId404" Type="http://schemas.openxmlformats.org/officeDocument/2006/relationships/header" Target="header111.xml"/><Relationship Id="rId405" Type="http://schemas.openxmlformats.org/officeDocument/2006/relationships/footer" Target="footer198.xml"/><Relationship Id="rId406" Type="http://schemas.openxmlformats.org/officeDocument/2006/relationships/header" Target="header112.xml"/><Relationship Id="rId407" Type="http://schemas.openxmlformats.org/officeDocument/2006/relationships/footer" Target="footer199.xml"/><Relationship Id="rId408" Type="http://schemas.openxmlformats.org/officeDocument/2006/relationships/header" Target="header113.xml"/><Relationship Id="rId409" Type="http://schemas.openxmlformats.org/officeDocument/2006/relationships/footer" Target="footer200.xml"/><Relationship Id="rId410" Type="http://schemas.openxmlformats.org/officeDocument/2006/relationships/image" Target="media/image47.jpeg"/><Relationship Id="rId411" Type="http://schemas.openxmlformats.org/officeDocument/2006/relationships/image" Target="media/image47.jpeg" TargetMode="External"/><Relationship Id="rId412" Type="http://schemas.openxmlformats.org/officeDocument/2006/relationships/header" Target="header114.xml"/><Relationship Id="rId413" Type="http://schemas.openxmlformats.org/officeDocument/2006/relationships/footer" Target="footer201.xml"/><Relationship Id="rId414" Type="http://schemas.openxmlformats.org/officeDocument/2006/relationships/header" Target="header115.xml"/><Relationship Id="rId415" Type="http://schemas.openxmlformats.org/officeDocument/2006/relationships/footer" Target="footer202.xml"/><Relationship Id="rId416" Type="http://schemas.openxmlformats.org/officeDocument/2006/relationships/header" Target="header116.xml"/><Relationship Id="rId417" Type="http://schemas.openxmlformats.org/officeDocument/2006/relationships/footer" Target="footer203.xml"/><Relationship Id="rId418" Type="http://schemas.openxmlformats.org/officeDocument/2006/relationships/header" Target="header117.xml"/><Relationship Id="rId419" Type="http://schemas.openxmlformats.org/officeDocument/2006/relationships/footer" Target="footer204.xml"/><Relationship Id="rId420" Type="http://schemas.openxmlformats.org/officeDocument/2006/relationships/header" Target="header118.xml"/><Relationship Id="rId421" Type="http://schemas.openxmlformats.org/officeDocument/2006/relationships/footer" Target="footer205.xml"/><Relationship Id="rId422" Type="http://schemas.openxmlformats.org/officeDocument/2006/relationships/header" Target="header119.xml"/><Relationship Id="rId423" Type="http://schemas.openxmlformats.org/officeDocument/2006/relationships/footer" Target="footer206.xml"/><Relationship Id="rId424" Type="http://schemas.openxmlformats.org/officeDocument/2006/relationships/header" Target="header120.xml"/><Relationship Id="rId425" Type="http://schemas.openxmlformats.org/officeDocument/2006/relationships/footer" Target="footer207.xml"/><Relationship Id="rId426" Type="http://schemas.openxmlformats.org/officeDocument/2006/relationships/header" Target="header121.xml"/><Relationship Id="rId427" Type="http://schemas.openxmlformats.org/officeDocument/2006/relationships/footer" Target="footer208.xml"/><Relationship Id="rId428" Type="http://schemas.openxmlformats.org/officeDocument/2006/relationships/header" Target="header122.xml"/><Relationship Id="rId429" Type="http://schemas.openxmlformats.org/officeDocument/2006/relationships/footer" Target="footer209.xml"/><Relationship Id="rId430" Type="http://schemas.openxmlformats.org/officeDocument/2006/relationships/header" Target="header123.xml"/><Relationship Id="rId431" Type="http://schemas.openxmlformats.org/officeDocument/2006/relationships/footer" Target="footer210.xml"/><Relationship Id="rId432" Type="http://schemas.openxmlformats.org/officeDocument/2006/relationships/header" Target="header124.xml"/><Relationship Id="rId433" Type="http://schemas.openxmlformats.org/officeDocument/2006/relationships/footer" Target="footer211.xml"/><Relationship Id="rId434" Type="http://schemas.openxmlformats.org/officeDocument/2006/relationships/header" Target="header125.xml"/><Relationship Id="rId435" Type="http://schemas.openxmlformats.org/officeDocument/2006/relationships/footer" Target="footer212.xml"/><Relationship Id="rId436" Type="http://schemas.openxmlformats.org/officeDocument/2006/relationships/header" Target="header126.xml"/><Relationship Id="rId437" Type="http://schemas.openxmlformats.org/officeDocument/2006/relationships/footer" Target="footer213.xml"/><Relationship Id="rId438" Type="http://schemas.openxmlformats.org/officeDocument/2006/relationships/header" Target="header127.xml"/><Relationship Id="rId439" Type="http://schemas.openxmlformats.org/officeDocument/2006/relationships/footer" Target="footer214.xml"/><Relationship Id="rId440" Type="http://schemas.openxmlformats.org/officeDocument/2006/relationships/header" Target="header128.xml"/><Relationship Id="rId441" Type="http://schemas.openxmlformats.org/officeDocument/2006/relationships/footer" Target="footer215.xml"/><Relationship Id="rId442" Type="http://schemas.openxmlformats.org/officeDocument/2006/relationships/header" Target="header129.xml"/><Relationship Id="rId443" Type="http://schemas.openxmlformats.org/officeDocument/2006/relationships/footer" Target="footer216.xml"/><Relationship Id="rId444" Type="http://schemas.openxmlformats.org/officeDocument/2006/relationships/header" Target="header130.xml"/><Relationship Id="rId445" Type="http://schemas.openxmlformats.org/officeDocument/2006/relationships/footer" Target="footer217.xml"/><Relationship Id="rId446" Type="http://schemas.openxmlformats.org/officeDocument/2006/relationships/header" Target="header131.xml"/><Relationship Id="rId447" Type="http://schemas.openxmlformats.org/officeDocument/2006/relationships/footer" Target="footer218.xml"/><Relationship Id="rId448" Type="http://schemas.openxmlformats.org/officeDocument/2006/relationships/header" Target="header132.xml"/><Relationship Id="rId449" Type="http://schemas.openxmlformats.org/officeDocument/2006/relationships/footer" Target="footer219.xml"/><Relationship Id="rId450" Type="http://schemas.openxmlformats.org/officeDocument/2006/relationships/header" Target="header133.xml"/><Relationship Id="rId451" Type="http://schemas.openxmlformats.org/officeDocument/2006/relationships/footer" Target="footer220.xml"/><Relationship Id="rId452" Type="http://schemas.openxmlformats.org/officeDocument/2006/relationships/header" Target="header134.xml"/><Relationship Id="rId453" Type="http://schemas.openxmlformats.org/officeDocument/2006/relationships/footer" Target="footer221.xml"/><Relationship Id="rId454" Type="http://schemas.openxmlformats.org/officeDocument/2006/relationships/header" Target="header135.xml"/><Relationship Id="rId455" Type="http://schemas.openxmlformats.org/officeDocument/2006/relationships/footer" Target="footer222.xml"/><Relationship Id="rId456" Type="http://schemas.openxmlformats.org/officeDocument/2006/relationships/header" Target="header136.xml"/><Relationship Id="rId457" Type="http://schemas.openxmlformats.org/officeDocument/2006/relationships/footer" Target="footer223.xml"/><Relationship Id="rId458" Type="http://schemas.openxmlformats.org/officeDocument/2006/relationships/header" Target="header137.xml"/><Relationship Id="rId459" Type="http://schemas.openxmlformats.org/officeDocument/2006/relationships/footer" Target="footer224.xml"/><Relationship Id="rId460" Type="http://schemas.openxmlformats.org/officeDocument/2006/relationships/header" Target="header138.xml"/><Relationship Id="rId461" Type="http://schemas.openxmlformats.org/officeDocument/2006/relationships/footer" Target="footer225.xml"/><Relationship Id="rId462" Type="http://schemas.openxmlformats.org/officeDocument/2006/relationships/header" Target="header139.xml"/><Relationship Id="rId463" Type="http://schemas.openxmlformats.org/officeDocument/2006/relationships/footer" Target="footer226.xml"/><Relationship Id="rId464" Type="http://schemas.openxmlformats.org/officeDocument/2006/relationships/header" Target="header140.xml"/><Relationship Id="rId465" Type="http://schemas.openxmlformats.org/officeDocument/2006/relationships/footer" Target="footer227.xml"/><Relationship Id="rId466" Type="http://schemas.openxmlformats.org/officeDocument/2006/relationships/header" Target="header141.xml"/><Relationship Id="rId467" Type="http://schemas.openxmlformats.org/officeDocument/2006/relationships/footer" Target="footer228.xml"/><Relationship Id="rId468" Type="http://schemas.openxmlformats.org/officeDocument/2006/relationships/header" Target="header142.xml"/><Relationship Id="rId469" Type="http://schemas.openxmlformats.org/officeDocument/2006/relationships/footer" Target="footer229.xml"/><Relationship Id="rId470" Type="http://schemas.openxmlformats.org/officeDocument/2006/relationships/header" Target="header143.xml"/><Relationship Id="rId471" Type="http://schemas.openxmlformats.org/officeDocument/2006/relationships/footer" Target="footer230.xml"/><Relationship Id="rId472" Type="http://schemas.openxmlformats.org/officeDocument/2006/relationships/header" Target="header144.xml"/><Relationship Id="rId473" Type="http://schemas.openxmlformats.org/officeDocument/2006/relationships/footer" Target="footer231.xml"/><Relationship Id="rId474" Type="http://schemas.openxmlformats.org/officeDocument/2006/relationships/header" Target="header145.xml"/><Relationship Id="rId475" Type="http://schemas.openxmlformats.org/officeDocument/2006/relationships/footer" Target="footer232.xml"/><Relationship Id="rId476" Type="http://schemas.openxmlformats.org/officeDocument/2006/relationships/header" Target="header146.xml"/><Relationship Id="rId477" Type="http://schemas.openxmlformats.org/officeDocument/2006/relationships/footer" Target="footer233.xml"/><Relationship Id="rId478" Type="http://schemas.openxmlformats.org/officeDocument/2006/relationships/header" Target="header147.xml"/><Relationship Id="rId479" Type="http://schemas.openxmlformats.org/officeDocument/2006/relationships/footer" Target="footer234.xml"/><Relationship Id="rId480" Type="http://schemas.openxmlformats.org/officeDocument/2006/relationships/header" Target="header148.xml"/><Relationship Id="rId481" Type="http://schemas.openxmlformats.org/officeDocument/2006/relationships/footer" Target="footer235.xml"/><Relationship Id="rId482" Type="http://schemas.openxmlformats.org/officeDocument/2006/relationships/header" Target="header149.xml"/><Relationship Id="rId483" Type="http://schemas.openxmlformats.org/officeDocument/2006/relationships/footer" Target="footer236.xml"/><Relationship Id="rId484" Type="http://schemas.openxmlformats.org/officeDocument/2006/relationships/header" Target="header150.xml"/><Relationship Id="rId485" Type="http://schemas.openxmlformats.org/officeDocument/2006/relationships/footer" Target="footer237.xml"/><Relationship Id="rId486" Type="http://schemas.openxmlformats.org/officeDocument/2006/relationships/header" Target="header151.xml"/><Relationship Id="rId487" Type="http://schemas.openxmlformats.org/officeDocument/2006/relationships/footer" Target="footer238.xml"/><Relationship Id="rId488" Type="http://schemas.openxmlformats.org/officeDocument/2006/relationships/header" Target="header152.xml"/><Relationship Id="rId489" Type="http://schemas.openxmlformats.org/officeDocument/2006/relationships/footer" Target="footer239.xml"/><Relationship Id="rId490" Type="http://schemas.openxmlformats.org/officeDocument/2006/relationships/header" Target="header153.xml"/><Relationship Id="rId491" Type="http://schemas.openxmlformats.org/officeDocument/2006/relationships/footer" Target="footer240.xml"/><Relationship Id="rId492" Type="http://schemas.openxmlformats.org/officeDocument/2006/relationships/header" Target="header154.xml"/><Relationship Id="rId493" Type="http://schemas.openxmlformats.org/officeDocument/2006/relationships/footer" Target="footer241.xml"/><Relationship Id="rId494" Type="http://schemas.openxmlformats.org/officeDocument/2006/relationships/header" Target="header155.xml"/><Relationship Id="rId495" Type="http://schemas.openxmlformats.org/officeDocument/2006/relationships/footer" Target="footer242.xml"/><Relationship Id="rId496" Type="http://schemas.openxmlformats.org/officeDocument/2006/relationships/image" Target="media/image48.jpeg"/><Relationship Id="rId497" Type="http://schemas.openxmlformats.org/officeDocument/2006/relationships/image" Target="media/image48.jpeg" TargetMode="External"/><Relationship Id="rId498" Type="http://schemas.openxmlformats.org/officeDocument/2006/relationships/header" Target="header156.xml"/><Relationship Id="rId499" Type="http://schemas.openxmlformats.org/officeDocument/2006/relationships/footer" Target="footer243.xml"/><Relationship Id="rId500" Type="http://schemas.openxmlformats.org/officeDocument/2006/relationships/header" Target="header157.xml"/><Relationship Id="rId501" Type="http://schemas.openxmlformats.org/officeDocument/2006/relationships/footer" Target="footer244.xml"/><Relationship Id="rId502" Type="http://schemas.openxmlformats.org/officeDocument/2006/relationships/image" Target="media/image49.jpeg"/><Relationship Id="rId503" Type="http://schemas.openxmlformats.org/officeDocument/2006/relationships/image" Target="media/image49.jpeg" TargetMode="External"/><Relationship Id="rId504" Type="http://schemas.openxmlformats.org/officeDocument/2006/relationships/header" Target="header158.xml"/><Relationship Id="rId505" Type="http://schemas.openxmlformats.org/officeDocument/2006/relationships/footer" Target="footer245.xml"/><Relationship Id="rId506" Type="http://schemas.openxmlformats.org/officeDocument/2006/relationships/header" Target="header159.xml"/><Relationship Id="rId507" Type="http://schemas.openxmlformats.org/officeDocument/2006/relationships/footer" Target="footer246.xml"/><Relationship Id="rId508" Type="http://schemas.openxmlformats.org/officeDocument/2006/relationships/image" Target="media/image50.jpeg"/><Relationship Id="rId509" Type="http://schemas.openxmlformats.org/officeDocument/2006/relationships/image" Target="media/image50.jpeg" TargetMode="External"/><Relationship Id="rId510" Type="http://schemas.openxmlformats.org/officeDocument/2006/relationships/header" Target="header160.xml"/><Relationship Id="rId511" Type="http://schemas.openxmlformats.org/officeDocument/2006/relationships/footer" Target="footer247.xml"/><Relationship Id="rId512" Type="http://schemas.openxmlformats.org/officeDocument/2006/relationships/header" Target="header161.xml"/><Relationship Id="rId513" Type="http://schemas.openxmlformats.org/officeDocument/2006/relationships/footer" Target="footer248.xml"/><Relationship Id="rId514" Type="http://schemas.openxmlformats.org/officeDocument/2006/relationships/header" Target="header162.xml"/><Relationship Id="rId515" Type="http://schemas.openxmlformats.org/officeDocument/2006/relationships/footer" Target="footer249.xml"/><Relationship Id="rId516" Type="http://schemas.openxmlformats.org/officeDocument/2006/relationships/header" Target="header163.xml"/><Relationship Id="rId517" Type="http://schemas.openxmlformats.org/officeDocument/2006/relationships/footer" Target="footer250.xml"/><Relationship Id="rId518" Type="http://schemas.openxmlformats.org/officeDocument/2006/relationships/header" Target="header164.xml"/><Relationship Id="rId519" Type="http://schemas.openxmlformats.org/officeDocument/2006/relationships/footer" Target="footer251.xml"/><Relationship Id="rId520" Type="http://schemas.openxmlformats.org/officeDocument/2006/relationships/header" Target="header165.xml"/><Relationship Id="rId521" Type="http://schemas.openxmlformats.org/officeDocument/2006/relationships/footer" Target="footer252.xml"/><Relationship Id="rId522" Type="http://schemas.openxmlformats.org/officeDocument/2006/relationships/header" Target="header166.xml"/><Relationship Id="rId523" Type="http://schemas.openxmlformats.org/officeDocument/2006/relationships/footer" Target="footer253.xml"/><Relationship Id="rId524" Type="http://schemas.openxmlformats.org/officeDocument/2006/relationships/header" Target="header167.xml"/><Relationship Id="rId525" Type="http://schemas.openxmlformats.org/officeDocument/2006/relationships/footer" Target="footer254.xml"/><Relationship Id="rId526" Type="http://schemas.openxmlformats.org/officeDocument/2006/relationships/header" Target="header168.xml"/><Relationship Id="rId527" Type="http://schemas.openxmlformats.org/officeDocument/2006/relationships/footer" Target="footer255.xml"/><Relationship Id="rId528" Type="http://schemas.openxmlformats.org/officeDocument/2006/relationships/header" Target="header169.xml"/><Relationship Id="rId529" Type="http://schemas.openxmlformats.org/officeDocument/2006/relationships/footer" Target="footer256.xml"/><Relationship Id="rId530" Type="http://schemas.openxmlformats.org/officeDocument/2006/relationships/header" Target="header170.xml"/><Relationship Id="rId531" Type="http://schemas.openxmlformats.org/officeDocument/2006/relationships/footer" Target="footer257.xml"/><Relationship Id="rId532" Type="http://schemas.openxmlformats.org/officeDocument/2006/relationships/header" Target="header171.xml"/><Relationship Id="rId533" Type="http://schemas.openxmlformats.org/officeDocument/2006/relationships/footer" Target="footer258.xml"/><Relationship Id="rId534" Type="http://schemas.openxmlformats.org/officeDocument/2006/relationships/header" Target="header172.xml"/><Relationship Id="rId535" Type="http://schemas.openxmlformats.org/officeDocument/2006/relationships/footer" Target="footer259.xml"/><Relationship Id="rId536" Type="http://schemas.openxmlformats.org/officeDocument/2006/relationships/header" Target="header173.xml"/><Relationship Id="rId537" Type="http://schemas.openxmlformats.org/officeDocument/2006/relationships/footer" Target="footer260.xml"/><Relationship Id="rId538" Type="http://schemas.openxmlformats.org/officeDocument/2006/relationships/header" Target="header174.xml"/><Relationship Id="rId539" Type="http://schemas.openxmlformats.org/officeDocument/2006/relationships/footer" Target="footer261.xml"/><Relationship Id="rId540" Type="http://schemas.openxmlformats.org/officeDocument/2006/relationships/header" Target="header175.xml"/><Relationship Id="rId541" Type="http://schemas.openxmlformats.org/officeDocument/2006/relationships/footer" Target="footer262.xml"/><Relationship Id="rId542" Type="http://schemas.openxmlformats.org/officeDocument/2006/relationships/header" Target="header176.xml"/><Relationship Id="rId543" Type="http://schemas.openxmlformats.org/officeDocument/2006/relationships/footer" Target="footer263.xml"/><Relationship Id="rId544" Type="http://schemas.openxmlformats.org/officeDocument/2006/relationships/header" Target="header177.xml"/><Relationship Id="rId545" Type="http://schemas.openxmlformats.org/officeDocument/2006/relationships/footer" Target="footer264.xml"/><Relationship Id="rId546" Type="http://schemas.openxmlformats.org/officeDocument/2006/relationships/header" Target="header178.xml"/><Relationship Id="rId547" Type="http://schemas.openxmlformats.org/officeDocument/2006/relationships/footer" Target="footer265.xml"/><Relationship Id="rId548" Type="http://schemas.openxmlformats.org/officeDocument/2006/relationships/header" Target="header179.xml"/><Relationship Id="rId549" Type="http://schemas.openxmlformats.org/officeDocument/2006/relationships/footer" Target="footer266.xml"/><Relationship Id="rId550" Type="http://schemas.openxmlformats.org/officeDocument/2006/relationships/header" Target="header180.xml"/><Relationship Id="rId551" Type="http://schemas.openxmlformats.org/officeDocument/2006/relationships/footer" Target="footer267.xml"/><Relationship Id="rId552" Type="http://schemas.openxmlformats.org/officeDocument/2006/relationships/header" Target="header181.xml"/><Relationship Id="rId553" Type="http://schemas.openxmlformats.org/officeDocument/2006/relationships/footer" Target="footer268.xml"/><Relationship Id="rId554" Type="http://schemas.openxmlformats.org/officeDocument/2006/relationships/header" Target="header182.xml"/><Relationship Id="rId555" Type="http://schemas.openxmlformats.org/officeDocument/2006/relationships/footer" Target="footer269.xml"/><Relationship Id="rId556" Type="http://schemas.openxmlformats.org/officeDocument/2006/relationships/header" Target="header183.xml"/><Relationship Id="rId557" Type="http://schemas.openxmlformats.org/officeDocument/2006/relationships/footer" Target="footer270.xml"/><Relationship Id="rId558" Type="http://schemas.openxmlformats.org/officeDocument/2006/relationships/header" Target="header184.xml"/><Relationship Id="rId559" Type="http://schemas.openxmlformats.org/officeDocument/2006/relationships/footer" Target="footer271.xml"/><Relationship Id="rId560" Type="http://schemas.openxmlformats.org/officeDocument/2006/relationships/header" Target="header185.xml"/><Relationship Id="rId561" Type="http://schemas.openxmlformats.org/officeDocument/2006/relationships/footer" Target="footer272.xml"/><Relationship Id="rId562" Type="http://schemas.openxmlformats.org/officeDocument/2006/relationships/header" Target="header186.xml"/><Relationship Id="rId563" Type="http://schemas.openxmlformats.org/officeDocument/2006/relationships/footer" Target="footer273.xml"/><Relationship Id="rId564" Type="http://schemas.openxmlformats.org/officeDocument/2006/relationships/header" Target="header187.xml"/><Relationship Id="rId565" Type="http://schemas.openxmlformats.org/officeDocument/2006/relationships/footer" Target="footer274.xml"/><Relationship Id="rId566" Type="http://schemas.openxmlformats.org/officeDocument/2006/relationships/header" Target="header188.xml"/><Relationship Id="rId567" Type="http://schemas.openxmlformats.org/officeDocument/2006/relationships/footer" Target="footer275.xml"/><Relationship Id="rId568" Type="http://schemas.openxmlformats.org/officeDocument/2006/relationships/header" Target="header189.xml"/><Relationship Id="rId569" Type="http://schemas.openxmlformats.org/officeDocument/2006/relationships/footer" Target="footer276.xml"/><Relationship Id="rId570" Type="http://schemas.openxmlformats.org/officeDocument/2006/relationships/header" Target="header190.xml"/><Relationship Id="rId571" Type="http://schemas.openxmlformats.org/officeDocument/2006/relationships/footer" Target="footer277.xml"/><Relationship Id="rId572" Type="http://schemas.openxmlformats.org/officeDocument/2006/relationships/header" Target="header191.xml"/><Relationship Id="rId573" Type="http://schemas.openxmlformats.org/officeDocument/2006/relationships/footer" Target="footer278.xml"/><Relationship Id="rId574" Type="http://schemas.openxmlformats.org/officeDocument/2006/relationships/header" Target="header192.xml"/><Relationship Id="rId575" Type="http://schemas.openxmlformats.org/officeDocument/2006/relationships/footer" Target="footer279.xml"/><Relationship Id="rId576" Type="http://schemas.openxmlformats.org/officeDocument/2006/relationships/header" Target="header193.xml"/><Relationship Id="rId577" Type="http://schemas.openxmlformats.org/officeDocument/2006/relationships/footer" Target="footer280.xml"/><Relationship Id="rId578" Type="http://schemas.openxmlformats.org/officeDocument/2006/relationships/header" Target="header194.xml"/><Relationship Id="rId579" Type="http://schemas.openxmlformats.org/officeDocument/2006/relationships/footer" Target="footer281.xml"/><Relationship Id="rId580" Type="http://schemas.openxmlformats.org/officeDocument/2006/relationships/header" Target="header195.xml"/><Relationship Id="rId581" Type="http://schemas.openxmlformats.org/officeDocument/2006/relationships/footer" Target="footer282.xml"/><Relationship Id="rId582" Type="http://schemas.openxmlformats.org/officeDocument/2006/relationships/header" Target="header196.xml"/><Relationship Id="rId583" Type="http://schemas.openxmlformats.org/officeDocument/2006/relationships/footer" Target="footer283.xml"/><Relationship Id="rId584" Type="http://schemas.openxmlformats.org/officeDocument/2006/relationships/header" Target="header197.xml"/><Relationship Id="rId585" Type="http://schemas.openxmlformats.org/officeDocument/2006/relationships/footer" Target="footer284.xml"/><Relationship Id="rId586" Type="http://schemas.openxmlformats.org/officeDocument/2006/relationships/header" Target="header198.xml"/><Relationship Id="rId587" Type="http://schemas.openxmlformats.org/officeDocument/2006/relationships/footer" Target="footer285.xml"/><Relationship Id="rId588" Type="http://schemas.openxmlformats.org/officeDocument/2006/relationships/header" Target="header199.xml"/><Relationship Id="rId589" Type="http://schemas.openxmlformats.org/officeDocument/2006/relationships/footer" Target="footer286.xml"/><Relationship Id="rId590" Type="http://schemas.openxmlformats.org/officeDocument/2006/relationships/header" Target="header200.xml"/><Relationship Id="rId591" Type="http://schemas.openxmlformats.org/officeDocument/2006/relationships/footer" Target="footer287.xml"/><Relationship Id="rId592" Type="http://schemas.openxmlformats.org/officeDocument/2006/relationships/header" Target="header201.xml"/><Relationship Id="rId593" Type="http://schemas.openxmlformats.org/officeDocument/2006/relationships/footer" Target="footer288.xml"/><Relationship Id="rId594" Type="http://schemas.openxmlformats.org/officeDocument/2006/relationships/header" Target="header202.xml"/><Relationship Id="rId595" Type="http://schemas.openxmlformats.org/officeDocument/2006/relationships/footer" Target="footer289.xml"/><Relationship Id="rId596" Type="http://schemas.openxmlformats.org/officeDocument/2006/relationships/header" Target="header203.xml"/><Relationship Id="rId597" Type="http://schemas.openxmlformats.org/officeDocument/2006/relationships/footer" Target="footer290.xml"/><Relationship Id="rId598" Type="http://schemas.openxmlformats.org/officeDocument/2006/relationships/header" Target="header204.xml"/><Relationship Id="rId599" Type="http://schemas.openxmlformats.org/officeDocument/2006/relationships/footer" Target="footer291.xml"/><Relationship Id="rId600" Type="http://schemas.openxmlformats.org/officeDocument/2006/relationships/header" Target="header205.xml"/><Relationship Id="rId601" Type="http://schemas.openxmlformats.org/officeDocument/2006/relationships/footer" Target="footer292.xml"/><Relationship Id="rId602" Type="http://schemas.openxmlformats.org/officeDocument/2006/relationships/header" Target="header206.xml"/><Relationship Id="rId603" Type="http://schemas.openxmlformats.org/officeDocument/2006/relationships/footer" Target="footer293.xml"/><Relationship Id="rId604" Type="http://schemas.openxmlformats.org/officeDocument/2006/relationships/header" Target="header207.xml"/><Relationship Id="rId605" Type="http://schemas.openxmlformats.org/officeDocument/2006/relationships/footer" Target="footer294.xml"/><Relationship Id="rId606" Type="http://schemas.openxmlformats.org/officeDocument/2006/relationships/image" Target="media/image51.jpeg"/><Relationship Id="rId607" Type="http://schemas.openxmlformats.org/officeDocument/2006/relationships/image" Target="media/image51.jpeg" TargetMode="External"/></Relationships>
</file>